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rPr>
      </w:pPr>
      <w:r>
        <w:rPr>
          <w:rFonts w:hint="eastAsia"/>
          <w:sz w:val="32"/>
          <w:szCs w:val="32"/>
        </w:rPr>
        <w:t>附件1：</w:t>
      </w:r>
    </w:p>
    <w:p>
      <w:pPr>
        <w:jc w:val="left"/>
        <w:rPr>
          <w:sz w:val="32"/>
          <w:szCs w:val="32"/>
        </w:rPr>
      </w:pPr>
    </w:p>
    <w:p>
      <w:pPr>
        <w:pStyle w:val="2"/>
        <w:spacing w:line="360" w:lineRule="auto"/>
        <w:ind w:left="480" w:firstLine="803"/>
        <w:jc w:val="center"/>
        <w:rPr>
          <w:sz w:val="32"/>
          <w:szCs w:val="32"/>
        </w:rPr>
      </w:pPr>
      <w:r>
        <w:rPr>
          <w:rFonts w:hint="eastAsia"/>
          <w:b/>
          <w:bCs/>
          <w:sz w:val="40"/>
          <w:szCs w:val="40"/>
        </w:rPr>
        <w:t>材料需求</w:t>
      </w:r>
    </w:p>
    <w:tbl>
      <w:tblPr>
        <w:tblStyle w:val="5"/>
        <w:tblW w:w="9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1288"/>
        <w:gridCol w:w="1509"/>
        <w:gridCol w:w="2879"/>
        <w:gridCol w:w="2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blHeader/>
          <w:jc w:val="center"/>
        </w:trPr>
        <w:tc>
          <w:tcPr>
            <w:tcW w:w="1262" w:type="dxa"/>
            <w:tcBorders>
              <w:bottom w:val="single" w:color="auto" w:sz="4" w:space="0"/>
            </w:tcBorders>
            <w:vAlign w:val="center"/>
          </w:tcPr>
          <w:p>
            <w:pPr>
              <w:jc w:val="left"/>
              <w:rPr>
                <w:rFonts w:ascii="宋体" w:hAnsi="宋体" w:cs="宋体"/>
                <w:bCs/>
                <w:szCs w:val="20"/>
              </w:rPr>
            </w:pPr>
            <w:r>
              <w:rPr>
                <w:rFonts w:hint="eastAsia" w:ascii="宋体" w:hAnsi="宋体" w:cs="宋体"/>
                <w:bCs/>
                <w:szCs w:val="20"/>
              </w:rPr>
              <w:t>标段号</w:t>
            </w:r>
          </w:p>
        </w:tc>
        <w:tc>
          <w:tcPr>
            <w:tcW w:w="1288" w:type="dxa"/>
            <w:tcBorders>
              <w:bottom w:val="single" w:color="auto" w:sz="4" w:space="0"/>
            </w:tcBorders>
            <w:vAlign w:val="center"/>
          </w:tcPr>
          <w:p>
            <w:pPr>
              <w:jc w:val="left"/>
              <w:rPr>
                <w:rFonts w:ascii="宋体" w:hAnsi="宋体" w:cs="宋体"/>
                <w:bCs/>
                <w:szCs w:val="20"/>
              </w:rPr>
            </w:pPr>
            <w:r>
              <w:rPr>
                <w:rFonts w:hint="eastAsia" w:ascii="宋体" w:hAnsi="宋体" w:cs="宋体"/>
                <w:bCs/>
                <w:szCs w:val="20"/>
              </w:rPr>
              <w:t>品种</w:t>
            </w:r>
          </w:p>
        </w:tc>
        <w:tc>
          <w:tcPr>
            <w:tcW w:w="1509" w:type="dxa"/>
            <w:tcBorders>
              <w:bottom w:val="single" w:color="auto" w:sz="4" w:space="0"/>
            </w:tcBorders>
            <w:vAlign w:val="center"/>
          </w:tcPr>
          <w:p>
            <w:pPr>
              <w:jc w:val="left"/>
              <w:rPr>
                <w:rFonts w:ascii="宋体" w:hAnsi="宋体" w:cs="宋体"/>
                <w:bCs/>
                <w:szCs w:val="20"/>
              </w:rPr>
            </w:pPr>
            <w:r>
              <w:rPr>
                <w:rFonts w:hint="eastAsia" w:ascii="宋体" w:hAnsi="宋体" w:cs="宋体"/>
                <w:bCs/>
                <w:szCs w:val="20"/>
              </w:rPr>
              <w:t>交货地点</w:t>
            </w:r>
          </w:p>
        </w:tc>
        <w:tc>
          <w:tcPr>
            <w:tcW w:w="2879" w:type="dxa"/>
            <w:tcBorders>
              <w:bottom w:val="single" w:color="auto" w:sz="4" w:space="0"/>
            </w:tcBorders>
            <w:vAlign w:val="center"/>
          </w:tcPr>
          <w:p>
            <w:pPr>
              <w:jc w:val="left"/>
              <w:rPr>
                <w:rFonts w:ascii="宋体" w:hAnsi="宋体" w:cs="宋体"/>
                <w:bCs/>
                <w:szCs w:val="20"/>
              </w:rPr>
            </w:pPr>
            <w:r>
              <w:rPr>
                <w:rFonts w:hint="eastAsia" w:ascii="宋体" w:hAnsi="宋体" w:cs="宋体"/>
                <w:bCs/>
                <w:szCs w:val="20"/>
              </w:rPr>
              <w:t>主要材料名称及数量</w:t>
            </w:r>
          </w:p>
        </w:tc>
        <w:tc>
          <w:tcPr>
            <w:tcW w:w="2879" w:type="dxa"/>
            <w:tcBorders>
              <w:bottom w:val="single" w:color="auto" w:sz="4" w:space="0"/>
            </w:tcBorders>
            <w:vAlign w:val="center"/>
          </w:tcPr>
          <w:p>
            <w:pPr>
              <w:jc w:val="left"/>
              <w:rPr>
                <w:rFonts w:ascii="宋体" w:hAnsi="宋体" w:cs="宋体"/>
                <w:bCs/>
                <w:szCs w:val="20"/>
              </w:rPr>
            </w:pPr>
            <w:r>
              <w:rPr>
                <w:rFonts w:hint="eastAsia" w:ascii="宋体" w:hAnsi="宋体" w:cs="宋体"/>
                <w:bCs/>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3" w:hRule="atLeast"/>
          <w:jc w:val="center"/>
        </w:trPr>
        <w:tc>
          <w:tcPr>
            <w:tcW w:w="1262" w:type="dxa"/>
            <w:tcBorders>
              <w:top w:val="single" w:color="auto" w:sz="4" w:space="0"/>
              <w:bottom w:val="single" w:color="auto" w:sz="4" w:space="0"/>
            </w:tcBorders>
            <w:vAlign w:val="center"/>
          </w:tcPr>
          <w:p>
            <w:pPr>
              <w:jc w:val="left"/>
              <w:rPr>
                <w:rFonts w:ascii="宋体" w:hAnsi="宋体" w:cs="宋体"/>
                <w:bCs/>
                <w:szCs w:val="20"/>
              </w:rPr>
            </w:pPr>
            <w:r>
              <w:rPr>
                <w:rFonts w:hint="eastAsia" w:ascii="宋体" w:hAnsi="宋体" w:cs="宋体"/>
                <w:bCs/>
                <w:szCs w:val="20"/>
              </w:rPr>
              <w:t>1</w:t>
            </w:r>
          </w:p>
        </w:tc>
        <w:tc>
          <w:tcPr>
            <w:tcW w:w="1288" w:type="dxa"/>
            <w:tcBorders>
              <w:top w:val="single" w:color="auto" w:sz="4" w:space="0"/>
              <w:bottom w:val="single" w:color="auto" w:sz="4" w:space="0"/>
              <w:right w:val="single" w:color="auto" w:sz="4" w:space="0"/>
            </w:tcBorders>
            <w:vAlign w:val="center"/>
          </w:tcPr>
          <w:p>
            <w:pPr>
              <w:jc w:val="left"/>
              <w:rPr>
                <w:rFonts w:ascii="宋体" w:hAnsi="宋体" w:cs="宋体"/>
                <w:bCs/>
                <w:szCs w:val="20"/>
              </w:rPr>
            </w:pPr>
            <w:r>
              <w:rPr>
                <w:rFonts w:hint="eastAsia" w:ascii="宋体" w:hAnsi="宋体" w:cs="宋体"/>
                <w:bCs/>
                <w:szCs w:val="20"/>
              </w:rPr>
              <w:t>波纹钢板</w:t>
            </w:r>
          </w:p>
        </w:tc>
        <w:tc>
          <w:tcPr>
            <w:tcW w:w="150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Cs/>
                <w:szCs w:val="20"/>
              </w:rPr>
            </w:pPr>
            <w:r>
              <w:rPr>
                <w:rFonts w:hint="eastAsia" w:ascii="宋体" w:hAnsi="宋体" w:cs="宋体"/>
                <w:bCs/>
                <w:szCs w:val="20"/>
              </w:rPr>
              <w:t>湖北省襄阳市保康县城关镇螺丝沟村</w:t>
            </w:r>
          </w:p>
        </w:tc>
        <w:tc>
          <w:tcPr>
            <w:tcW w:w="287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zCs w:val="20"/>
              </w:rPr>
            </w:pPr>
            <w:r>
              <w:rPr>
                <w:rFonts w:hint="eastAsia" w:ascii="宋体" w:hAnsi="宋体" w:cs="宋体"/>
                <w:bCs/>
                <w:szCs w:val="20"/>
              </w:rPr>
              <w:t>波纹钢板1660.645㎡（包含镀锌波纹钢板以及与之配套的拼接螺栓与螺母、化学锚栓）</w:t>
            </w:r>
          </w:p>
        </w:tc>
        <w:tc>
          <w:tcPr>
            <w:tcW w:w="287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zCs w:val="20"/>
              </w:rPr>
            </w:pPr>
            <w:r>
              <w:rPr>
                <w:rFonts w:hint="eastAsia" w:ascii="宋体" w:hAnsi="宋体" w:cs="宋体"/>
                <w:bCs/>
                <w:szCs w:val="20"/>
              </w:rPr>
              <w:t>波纹钢板采用波高55mm，波长200mm，板厚6mm冷轧镀锌波纹钢板，钢板采用工厂预制，现场拼装的方法进行施工，块间采用M16高强螺栓/螺母连接，波纹钢板与原二次衬砌间设置M20化学锚栓连接，锚栓长度250mm，锚固深度200mm。投标单价为货物运送至湖北省襄阳市保康县城关镇螺丝沟村（罗汉关隧道）的到场价</w:t>
            </w:r>
          </w:p>
        </w:tc>
      </w:tr>
    </w:tbl>
    <w:p>
      <w:pPr>
        <w:jc w:val="left"/>
        <w:rPr>
          <w:sz w:val="32"/>
          <w:szCs w:val="32"/>
        </w:rPr>
      </w:pPr>
    </w:p>
    <w:p>
      <w:pPr>
        <w:jc w:val="left"/>
        <w:rPr>
          <w:sz w:val="32"/>
          <w:szCs w:val="32"/>
        </w:rPr>
      </w:pPr>
      <w:r>
        <w:rPr>
          <w:sz w:val="32"/>
          <w:szCs w:val="32"/>
        </w:rPr>
        <w:br w:type="page"/>
      </w:r>
    </w:p>
    <w:p>
      <w:pPr>
        <w:spacing w:line="360" w:lineRule="auto"/>
        <w:jc w:val="left"/>
        <w:rPr>
          <w:sz w:val="32"/>
          <w:szCs w:val="32"/>
        </w:rPr>
      </w:pPr>
      <w:r>
        <w:rPr>
          <w:sz w:val="32"/>
          <w:szCs w:val="32"/>
        </w:rPr>
        <w:t>附件</w:t>
      </w:r>
      <w:r>
        <w:rPr>
          <w:rFonts w:hint="eastAsia"/>
          <w:sz w:val="32"/>
          <w:szCs w:val="32"/>
        </w:rPr>
        <w:t>2</w:t>
      </w:r>
    </w:p>
    <w:p>
      <w:pPr>
        <w:snapToGrid w:val="0"/>
        <w:spacing w:line="360" w:lineRule="auto"/>
        <w:jc w:val="center"/>
        <w:rPr>
          <w:b/>
          <w:bCs/>
          <w:sz w:val="32"/>
          <w:szCs w:val="32"/>
        </w:rPr>
      </w:pPr>
      <w:r>
        <w:rPr>
          <w:b/>
          <w:bCs/>
          <w:sz w:val="32"/>
          <w:szCs w:val="32"/>
        </w:rPr>
        <w:t>附录1 资格审查条件（资质最低要求）</w:t>
      </w:r>
    </w:p>
    <w:p>
      <w:pPr>
        <w:snapToGrid w:val="0"/>
        <w:spacing w:line="360" w:lineRule="auto"/>
      </w:pP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7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789" w:type="pct"/>
            <w:vAlign w:val="center"/>
          </w:tcPr>
          <w:p>
            <w:pPr>
              <w:snapToGrid w:val="0"/>
              <w:spacing w:line="360" w:lineRule="auto"/>
              <w:jc w:val="center"/>
            </w:pPr>
            <w:r>
              <w:t>合同包</w:t>
            </w:r>
          </w:p>
        </w:tc>
        <w:tc>
          <w:tcPr>
            <w:tcW w:w="4211" w:type="pct"/>
            <w:vAlign w:val="center"/>
          </w:tcPr>
          <w:p>
            <w:pPr>
              <w:snapToGrid w:val="0"/>
              <w:spacing w:line="360" w:lineRule="auto"/>
              <w:jc w:val="center"/>
            </w:pPr>
            <w: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6" w:hRule="atLeast"/>
          <w:jc w:val="center"/>
        </w:trPr>
        <w:tc>
          <w:tcPr>
            <w:tcW w:w="789" w:type="pct"/>
            <w:vAlign w:val="center"/>
          </w:tcPr>
          <w:p>
            <w:pPr>
              <w:spacing w:line="360" w:lineRule="auto"/>
              <w:jc w:val="center"/>
            </w:pPr>
            <w:r>
              <w:t>第1合同包</w:t>
            </w:r>
          </w:p>
        </w:tc>
        <w:tc>
          <w:tcPr>
            <w:tcW w:w="4211" w:type="pct"/>
            <w:vAlign w:val="center"/>
          </w:tcPr>
          <w:p>
            <w:pPr>
              <w:jc w:val="left"/>
              <w:rPr>
                <w:rFonts w:ascii="宋体" w:hAnsi="宋体" w:cs="宋体"/>
                <w:bCs/>
                <w:szCs w:val="20"/>
              </w:rPr>
            </w:pPr>
            <w:r>
              <w:rPr>
                <w:rFonts w:hint="eastAsia" w:ascii="宋体" w:hAnsi="宋体" w:cs="宋体"/>
                <w:bCs/>
                <w:szCs w:val="20"/>
              </w:rPr>
              <w:t>同时具备：</w:t>
            </w:r>
          </w:p>
          <w:p>
            <w:pPr>
              <w:jc w:val="left"/>
              <w:rPr>
                <w:rFonts w:ascii="宋体" w:hAnsi="宋体" w:cs="宋体"/>
                <w:bCs/>
                <w:szCs w:val="20"/>
              </w:rPr>
            </w:pPr>
            <w:r>
              <w:rPr>
                <w:rFonts w:hint="eastAsia" w:ascii="宋体" w:hAnsi="宋体" w:cs="宋体"/>
                <w:bCs/>
                <w:szCs w:val="20"/>
              </w:rPr>
              <w:t>1.</w:t>
            </w:r>
            <w:r>
              <w:rPr>
                <w:szCs w:val="20"/>
              </w:rPr>
              <w:t>具备</w:t>
            </w:r>
            <w:r>
              <w:rPr>
                <w:rFonts w:hint="eastAsia" w:ascii="宋体" w:hAnsi="宋体" w:cs="宋体"/>
                <w:bCs/>
                <w:szCs w:val="20"/>
              </w:rPr>
              <w:t>独立的法人资格，具备有效的营业执照；</w:t>
            </w:r>
          </w:p>
          <w:p>
            <w:pPr>
              <w:spacing w:line="360" w:lineRule="auto"/>
            </w:pPr>
            <w:r>
              <w:rPr>
                <w:rFonts w:hint="eastAsia" w:ascii="宋体" w:hAnsi="宋体" w:cs="宋体"/>
                <w:bCs/>
                <w:szCs w:val="20"/>
              </w:rPr>
              <w:t>2.湖北交通投资集团有限公司注册供应商。</w:t>
            </w:r>
          </w:p>
        </w:tc>
      </w:tr>
    </w:tbl>
    <w:p>
      <w:pPr>
        <w:jc w:val="left"/>
        <w:rPr>
          <w:b/>
          <w:bCs/>
          <w:sz w:val="21"/>
          <w:szCs w:val="21"/>
        </w:rPr>
      </w:pPr>
      <w:r>
        <w:rPr>
          <w:b/>
          <w:bCs/>
          <w:sz w:val="21"/>
          <w:szCs w:val="21"/>
        </w:rPr>
        <w:t>注：申请人须附营业执照</w:t>
      </w:r>
      <w:r>
        <w:rPr>
          <w:rFonts w:hint="eastAsia"/>
          <w:b/>
          <w:bCs/>
          <w:sz w:val="21"/>
          <w:szCs w:val="21"/>
        </w:rPr>
        <w:t>扫描件</w:t>
      </w:r>
      <w:r>
        <w:rPr>
          <w:b/>
          <w:bCs/>
          <w:sz w:val="21"/>
          <w:szCs w:val="21"/>
        </w:rPr>
        <w:t>。</w:t>
      </w:r>
    </w:p>
    <w:p>
      <w:pPr>
        <w:spacing w:line="360" w:lineRule="auto"/>
        <w:rPr>
          <w:sz w:val="28"/>
          <w:szCs w:val="28"/>
        </w:rPr>
      </w:pPr>
    </w:p>
    <w:p>
      <w:pPr>
        <w:spacing w:line="360" w:lineRule="auto"/>
        <w:jc w:val="center"/>
        <w:rPr>
          <w:b/>
          <w:bCs/>
          <w:sz w:val="40"/>
          <w:szCs w:val="40"/>
        </w:rPr>
      </w:pPr>
      <w:r>
        <w:rPr>
          <w:sz w:val="28"/>
          <w:szCs w:val="28"/>
        </w:rPr>
        <w:br w:type="page"/>
      </w:r>
      <w:r>
        <w:rPr>
          <w:b/>
          <w:bCs/>
          <w:sz w:val="32"/>
          <w:szCs w:val="32"/>
        </w:rPr>
        <w:t>附录2 资格审查条件（财务最低要求）</w:t>
      </w:r>
    </w:p>
    <w:p>
      <w:pPr>
        <w:pStyle w:val="2"/>
        <w:spacing w:after="0" w:line="360" w:lineRule="auto"/>
        <w:ind w:left="480" w:firstLine="480"/>
      </w:pP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7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337" w:type="dxa"/>
            <w:vAlign w:val="center"/>
          </w:tcPr>
          <w:p>
            <w:pPr>
              <w:snapToGrid w:val="0"/>
              <w:spacing w:line="360" w:lineRule="auto"/>
              <w:jc w:val="center"/>
              <w:rPr>
                <w:sz w:val="28"/>
                <w:szCs w:val="28"/>
              </w:rPr>
            </w:pPr>
            <w:r>
              <w:rPr>
                <w:sz w:val="28"/>
                <w:szCs w:val="36"/>
              </w:rPr>
              <w:t>合同包</w:t>
            </w:r>
          </w:p>
        </w:tc>
        <w:tc>
          <w:tcPr>
            <w:tcW w:w="7724" w:type="dxa"/>
            <w:vAlign w:val="center"/>
          </w:tcPr>
          <w:p>
            <w:pPr>
              <w:snapToGrid w:val="0"/>
              <w:spacing w:line="360" w:lineRule="auto"/>
              <w:jc w:val="center"/>
              <w:rPr>
                <w:sz w:val="28"/>
                <w:szCs w:val="28"/>
              </w:rPr>
            </w:pPr>
            <w:r>
              <w:rPr>
                <w:sz w:val="28"/>
                <w:szCs w:val="28"/>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atLeast"/>
          <w:jc w:val="center"/>
        </w:trPr>
        <w:tc>
          <w:tcPr>
            <w:tcW w:w="1337" w:type="dxa"/>
            <w:vAlign w:val="center"/>
          </w:tcPr>
          <w:p>
            <w:pPr>
              <w:spacing w:line="360" w:lineRule="auto"/>
              <w:jc w:val="center"/>
            </w:pPr>
            <w:r>
              <w:t>第1合同包</w:t>
            </w:r>
          </w:p>
        </w:tc>
        <w:tc>
          <w:tcPr>
            <w:tcW w:w="7724" w:type="dxa"/>
            <w:vAlign w:val="center"/>
          </w:tcPr>
          <w:p>
            <w:pPr>
              <w:pStyle w:val="2"/>
              <w:spacing w:after="0" w:line="360" w:lineRule="auto"/>
              <w:ind w:left="0" w:leftChars="0" w:firstLine="0" w:firstLineChars="0"/>
              <w:rPr>
                <w:szCs w:val="28"/>
              </w:rPr>
            </w:pPr>
            <w:r>
              <w:rPr>
                <w:kern w:val="0"/>
                <w:szCs w:val="22"/>
                <w:lang w:bidi="ar"/>
              </w:rPr>
              <w:t>方式一：</w:t>
            </w:r>
            <w:r>
              <w:rPr>
                <w:kern w:val="0"/>
                <w:szCs w:val="22"/>
                <w:lang w:bidi="ar"/>
              </w:rPr>
              <w:br w:type="textWrapping"/>
            </w:r>
            <w:r>
              <w:rPr>
                <w:kern w:val="0"/>
                <w:szCs w:val="22"/>
                <w:lang w:bidi="ar"/>
              </w:rPr>
              <w:t>近三年每年的营业收入不少于</w:t>
            </w:r>
            <w:r>
              <w:rPr>
                <w:rFonts w:hint="eastAsia"/>
                <w:kern w:val="0"/>
                <w:szCs w:val="22"/>
                <w:u w:val="single"/>
                <w:lang w:bidi="ar"/>
              </w:rPr>
              <w:t>200</w:t>
            </w:r>
            <w:r>
              <w:rPr>
                <w:kern w:val="0"/>
                <w:szCs w:val="22"/>
                <w:lang w:bidi="ar"/>
              </w:rPr>
              <w:t>万元，近三年平均净资产不少于</w:t>
            </w:r>
            <w:r>
              <w:rPr>
                <w:rFonts w:hint="eastAsia"/>
                <w:kern w:val="0"/>
                <w:szCs w:val="22"/>
                <w:u w:val="single"/>
                <w:lang w:bidi="ar"/>
              </w:rPr>
              <w:t>30</w:t>
            </w:r>
            <w:r>
              <w:rPr>
                <w:kern w:val="0"/>
                <w:szCs w:val="22"/>
                <w:lang w:bidi="ar"/>
              </w:rPr>
              <w:t>万元。</w:t>
            </w:r>
            <w:r>
              <w:rPr>
                <w:kern w:val="0"/>
                <w:szCs w:val="22"/>
                <w:lang w:bidi="ar"/>
              </w:rPr>
              <w:br w:type="textWrapping"/>
            </w:r>
            <w:r>
              <w:rPr>
                <w:kern w:val="0"/>
                <w:szCs w:val="22"/>
                <w:lang w:bidi="ar"/>
              </w:rPr>
              <w:t>方式二：</w:t>
            </w:r>
            <w:r>
              <w:rPr>
                <w:kern w:val="0"/>
                <w:szCs w:val="22"/>
                <w:lang w:bidi="ar"/>
              </w:rPr>
              <w:br w:type="textWrapping"/>
            </w:r>
            <w:r>
              <w:rPr>
                <w:kern w:val="0"/>
                <w:szCs w:val="22"/>
                <w:lang w:bidi="ar"/>
              </w:rPr>
              <w:t>由银行出具</w:t>
            </w:r>
            <w:r>
              <w:rPr>
                <w:b/>
                <w:bCs/>
                <w:kern w:val="0"/>
                <w:szCs w:val="22"/>
                <w:lang w:bidi="ar"/>
              </w:rPr>
              <w:t>（须有银行盖章）</w:t>
            </w:r>
            <w:r>
              <w:rPr>
                <w:kern w:val="0"/>
                <w:szCs w:val="22"/>
                <w:lang w:bidi="ar"/>
              </w:rPr>
              <w:t>申请日前3个月内（2023年7月、2023年8月、2023年9月）的单位账户流水证明，每月月末账户余额平均值不少于</w:t>
            </w:r>
            <w:r>
              <w:rPr>
                <w:rFonts w:hint="eastAsia"/>
                <w:kern w:val="0"/>
                <w:szCs w:val="22"/>
                <w:u w:val="single"/>
                <w:lang w:bidi="ar"/>
              </w:rPr>
              <w:t>10</w:t>
            </w:r>
            <w:r>
              <w:rPr>
                <w:kern w:val="0"/>
                <w:szCs w:val="22"/>
                <w:lang w:bidi="ar"/>
              </w:rPr>
              <w:t>万元。</w:t>
            </w:r>
            <w:r>
              <w:rPr>
                <w:lang w:bidi="ar"/>
              </w:rPr>
              <w:br w:type="textWrapping"/>
            </w:r>
            <w:r>
              <w:rPr>
                <w:lang w:bidi="ar"/>
              </w:rPr>
              <w:t>上述两种方式满足其中一种即可。</w:t>
            </w:r>
          </w:p>
        </w:tc>
      </w:tr>
    </w:tbl>
    <w:p>
      <w:pPr>
        <w:snapToGrid w:val="0"/>
        <w:spacing w:line="440" w:lineRule="exact"/>
        <w:ind w:firstLine="420" w:firstLineChars="200"/>
        <w:rPr>
          <w:rFonts w:eastAsia="黑体"/>
          <w:sz w:val="21"/>
        </w:rPr>
      </w:pPr>
      <w:r>
        <w:rPr>
          <w:rFonts w:eastAsia="黑体"/>
          <w:sz w:val="21"/>
        </w:rPr>
        <w:t>注：1.采用方式一应附经会计师事务所或审计机构审计的财务会计报表，其所附资料只需证明其能满足财务最低要求即可。公司成立时间不足三年的提供成立以来的经会计师事务所或审计机构审计的财务会计报表。若最近年度会计报表未出，则近三年时间往前推算一年。</w:t>
      </w:r>
    </w:p>
    <w:p>
      <w:pPr>
        <w:pStyle w:val="7"/>
        <w:spacing w:line="440" w:lineRule="exact"/>
        <w:ind w:firstLine="840" w:firstLineChars="400"/>
        <w:rPr>
          <w:rFonts w:eastAsia="黑体"/>
        </w:rPr>
      </w:pPr>
      <w:r>
        <w:rPr>
          <w:rFonts w:eastAsia="黑体"/>
        </w:rPr>
        <w:t>2.采用方式二应附银行出具（须银行盖章）申请日前3个月内的单位账户流水证明。</w:t>
      </w:r>
    </w:p>
    <w:p>
      <w:pPr>
        <w:snapToGrid w:val="0"/>
        <w:spacing w:line="360" w:lineRule="auto"/>
        <w:ind w:firstLine="960" w:firstLineChars="400"/>
        <w:rPr>
          <w:rFonts w:eastAsia="黑体"/>
        </w:rPr>
      </w:pPr>
    </w:p>
    <w:p>
      <w:pPr>
        <w:snapToGrid w:val="0"/>
        <w:spacing w:line="360" w:lineRule="auto"/>
        <w:jc w:val="center"/>
        <w:rPr>
          <w:sz w:val="40"/>
          <w:szCs w:val="40"/>
        </w:rPr>
      </w:pPr>
      <w:r>
        <w:rPr>
          <w:sz w:val="28"/>
          <w:szCs w:val="28"/>
        </w:rPr>
        <w:br w:type="page"/>
      </w:r>
      <w:r>
        <w:rPr>
          <w:b/>
          <w:bCs/>
          <w:sz w:val="32"/>
          <w:szCs w:val="32"/>
        </w:rPr>
        <w:t>附录3 资格审查条件（业绩最低要求）</w:t>
      </w:r>
    </w:p>
    <w:p>
      <w:pPr>
        <w:snapToGrid w:val="0"/>
        <w:spacing w:line="360" w:lineRule="auto"/>
        <w:jc w:val="center"/>
        <w:rPr>
          <w:rFonts w:eastAsia="黑体"/>
        </w:rPr>
      </w:pP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269" w:type="dxa"/>
            <w:vAlign w:val="center"/>
          </w:tcPr>
          <w:p>
            <w:pPr>
              <w:snapToGrid w:val="0"/>
              <w:spacing w:line="360" w:lineRule="auto"/>
              <w:jc w:val="center"/>
              <w:rPr>
                <w:sz w:val="28"/>
                <w:szCs w:val="28"/>
              </w:rPr>
            </w:pPr>
            <w:r>
              <w:rPr>
                <w:sz w:val="28"/>
                <w:szCs w:val="36"/>
              </w:rPr>
              <w:t>合同包</w:t>
            </w:r>
          </w:p>
        </w:tc>
        <w:tc>
          <w:tcPr>
            <w:tcW w:w="7073" w:type="dxa"/>
            <w:vAlign w:val="center"/>
          </w:tcPr>
          <w:p>
            <w:pPr>
              <w:snapToGrid w:val="0"/>
              <w:spacing w:line="360" w:lineRule="auto"/>
              <w:jc w:val="center"/>
              <w:rPr>
                <w:sz w:val="28"/>
                <w:szCs w:val="28"/>
              </w:rPr>
            </w:pPr>
            <w:r>
              <w:rPr>
                <w:sz w:val="28"/>
                <w:szCs w:val="28"/>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1269" w:type="dxa"/>
            <w:vAlign w:val="center"/>
          </w:tcPr>
          <w:p>
            <w:pPr>
              <w:spacing w:line="360" w:lineRule="auto"/>
              <w:jc w:val="center"/>
            </w:pPr>
            <w:r>
              <w:t>第1合同包</w:t>
            </w:r>
          </w:p>
        </w:tc>
        <w:tc>
          <w:tcPr>
            <w:tcW w:w="7073" w:type="dxa"/>
            <w:vAlign w:val="center"/>
          </w:tcPr>
          <w:p>
            <w:pPr>
              <w:spacing w:line="360" w:lineRule="auto"/>
              <w:rPr>
                <w:sz w:val="28"/>
                <w:szCs w:val="28"/>
              </w:rPr>
            </w:pPr>
            <w:r>
              <w:t>近3年承担过</w:t>
            </w:r>
            <w:r>
              <w:rPr>
                <w:u w:val="single"/>
              </w:rPr>
              <w:t>1个</w:t>
            </w:r>
            <w:r>
              <w:rPr>
                <w:rFonts w:hint="eastAsia"/>
                <w:u w:val="single"/>
              </w:rPr>
              <w:t>金额</w:t>
            </w:r>
            <w:r>
              <w:rPr>
                <w:u w:val="single"/>
              </w:rPr>
              <w:t>不少于</w:t>
            </w:r>
            <w:r>
              <w:rPr>
                <w:rFonts w:hint="eastAsia"/>
                <w:u w:val="single"/>
              </w:rPr>
              <w:t>100万元</w:t>
            </w:r>
            <w:r>
              <w:rPr>
                <w:u w:val="single"/>
              </w:rPr>
              <w:t>的</w:t>
            </w:r>
            <w:r>
              <w:rPr>
                <w:rFonts w:hint="eastAsia"/>
                <w:u w:val="single"/>
              </w:rPr>
              <w:t>同类材料</w:t>
            </w:r>
            <w:r>
              <w:rPr>
                <w:u w:val="single"/>
              </w:rPr>
              <w:t>供应业绩。</w:t>
            </w:r>
          </w:p>
        </w:tc>
      </w:tr>
    </w:tbl>
    <w:p>
      <w:pPr>
        <w:pStyle w:val="3"/>
        <w:adjustRightInd w:val="0"/>
        <w:spacing w:after="0" w:line="440" w:lineRule="exact"/>
        <w:ind w:left="0" w:leftChars="0" w:firstLine="420" w:firstLineChars="200"/>
        <w:jc w:val="left"/>
        <w:textAlignment w:val="baseline"/>
        <w:rPr>
          <w:rFonts w:eastAsia="黑体"/>
          <w:kern w:val="0"/>
          <w:sz w:val="21"/>
        </w:rPr>
      </w:pPr>
      <w:r>
        <w:rPr>
          <w:rFonts w:eastAsia="黑体"/>
          <w:kern w:val="0"/>
          <w:sz w:val="21"/>
        </w:rPr>
        <w:t>注：申请人应提供近3年（以签订合同时间为准）来承担的类似业绩的合同协议书。合同协议书应含有：甲、乙方单位名称，供应材料品类，甲、乙方签字盖章等内容。如果合同不能反映上述要求的业绩内容，可由甲方出具有效证明。如无合同协议书或合同协议书及甲方证明不能反映上述要求的业绩内容，采购人在对申请人进行业绩审查时将不考虑该业绩。</w:t>
      </w:r>
    </w:p>
    <w:p>
      <w:pPr>
        <w:pStyle w:val="3"/>
        <w:adjustRightInd w:val="0"/>
        <w:spacing w:after="0" w:line="440" w:lineRule="exact"/>
        <w:ind w:left="0" w:leftChars="0" w:firstLine="560" w:firstLineChars="200"/>
        <w:jc w:val="center"/>
        <w:textAlignment w:val="baseline"/>
        <w:rPr>
          <w:b/>
          <w:bCs/>
          <w:sz w:val="40"/>
          <w:szCs w:val="40"/>
        </w:rPr>
      </w:pPr>
      <w:r>
        <w:rPr>
          <w:sz w:val="28"/>
          <w:szCs w:val="28"/>
        </w:rPr>
        <w:br w:type="page"/>
      </w:r>
      <w:r>
        <w:rPr>
          <w:b/>
          <w:bCs/>
          <w:sz w:val="32"/>
          <w:szCs w:val="32"/>
        </w:rPr>
        <w:t>附录4 资格审查条件(信誉最低要求)</w:t>
      </w:r>
    </w:p>
    <w:p>
      <w:pPr>
        <w:snapToGrid w:val="0"/>
        <w:spacing w:line="360" w:lineRule="auto"/>
        <w:rPr>
          <w:bCs/>
        </w:rPr>
      </w:pP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269" w:type="dxa"/>
            <w:vAlign w:val="center"/>
          </w:tcPr>
          <w:p>
            <w:pPr>
              <w:snapToGrid w:val="0"/>
              <w:spacing w:line="360" w:lineRule="auto"/>
              <w:jc w:val="center"/>
              <w:rPr>
                <w:sz w:val="28"/>
                <w:szCs w:val="28"/>
              </w:rPr>
            </w:pPr>
            <w:r>
              <w:rPr>
                <w:sz w:val="28"/>
                <w:szCs w:val="36"/>
              </w:rPr>
              <w:t>合同包</w:t>
            </w:r>
          </w:p>
        </w:tc>
        <w:tc>
          <w:tcPr>
            <w:tcW w:w="7073" w:type="dxa"/>
            <w:vAlign w:val="center"/>
          </w:tcPr>
          <w:p>
            <w:pPr>
              <w:snapToGrid w:val="0"/>
              <w:spacing w:line="360" w:lineRule="auto"/>
              <w:jc w:val="center"/>
              <w:rPr>
                <w:sz w:val="28"/>
                <w:szCs w:val="28"/>
              </w:rPr>
            </w:pPr>
            <w:r>
              <w:rPr>
                <w:sz w:val="28"/>
                <w:szCs w:val="28"/>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1269" w:type="dxa"/>
            <w:vAlign w:val="center"/>
          </w:tcPr>
          <w:p>
            <w:pPr>
              <w:spacing w:line="360" w:lineRule="auto"/>
              <w:jc w:val="center"/>
            </w:pPr>
            <w:r>
              <w:t>第1合同包</w:t>
            </w:r>
          </w:p>
        </w:tc>
        <w:tc>
          <w:tcPr>
            <w:tcW w:w="7073" w:type="dxa"/>
            <w:vAlign w:val="center"/>
          </w:tcPr>
          <w:p>
            <w:pPr>
              <w:widowControl/>
              <w:spacing w:line="360" w:lineRule="auto"/>
            </w:pPr>
            <w:r>
              <w:t>不得存在下列情况（信誉最低要求）：</w:t>
            </w:r>
          </w:p>
          <w:p>
            <w:pPr>
              <w:widowControl/>
              <w:spacing w:line="360" w:lineRule="auto"/>
            </w:pPr>
            <w:r>
              <w:t>1、处于被责令停业、接管或清算、破产状态；</w:t>
            </w:r>
          </w:p>
          <w:p>
            <w:pPr>
              <w:widowControl/>
              <w:spacing w:line="360" w:lineRule="auto"/>
            </w:pPr>
            <w:r>
              <w:t>2、存在下列不良状况或不良信用记录：</w:t>
            </w:r>
          </w:p>
          <w:p>
            <w:pPr>
              <w:widowControl/>
              <w:spacing w:line="360" w:lineRule="auto"/>
            </w:pPr>
            <w:r>
              <w:t>（1）在国家企业信用信息公示系统（http://www.gsxt.gov.cn/）中被列入严重违法失信企业名单的；</w:t>
            </w:r>
          </w:p>
          <w:p>
            <w:pPr>
              <w:widowControl/>
              <w:spacing w:line="360" w:lineRule="auto"/>
            </w:pPr>
            <w:r>
              <w:t>（2）在“中国执行信息公开网”（http://zxgk.court.gov.cn/）中被列入失信被执行人名单；</w:t>
            </w:r>
          </w:p>
          <w:p>
            <w:pPr>
              <w:widowControl/>
              <w:spacing w:line="360" w:lineRule="auto"/>
            </w:pPr>
            <w:r>
              <w:t>（3）申请人或其法定代表人在近三年内有行贿犯罪行为的；</w:t>
            </w:r>
          </w:p>
          <w:p>
            <w:pPr>
              <w:widowControl/>
              <w:spacing w:line="360" w:lineRule="auto"/>
              <w:jc w:val="left"/>
            </w:pPr>
            <w:r>
              <w:t>（4）其他在“信用中国”网站（http://www.creditchina.gov.cn/）中被列为严重失信主体名单，且按联合惩戒要求禁止参与招投标的；</w:t>
            </w:r>
          </w:p>
          <w:p>
            <w:pPr>
              <w:widowControl/>
              <w:spacing w:line="360" w:lineRule="auto"/>
              <w:jc w:val="left"/>
            </w:pPr>
            <w:r>
              <w:t>（5）上一年度信用评级被交投集团公司或建设集团评为D级且在处罚期内的供应商；</w:t>
            </w:r>
          </w:p>
          <w:p>
            <w:pPr>
              <w:widowControl/>
              <w:spacing w:line="360" w:lineRule="auto"/>
              <w:jc w:val="left"/>
            </w:pPr>
            <w:r>
              <w:t>（6）近三年度被列入交投集团公司或建设集团“黑名单”且在处罚期内的供应商。</w:t>
            </w:r>
          </w:p>
        </w:tc>
      </w:tr>
    </w:tbl>
    <w:p>
      <w:pPr>
        <w:pStyle w:val="2"/>
        <w:spacing w:after="0" w:line="360" w:lineRule="auto"/>
        <w:ind w:left="0" w:leftChars="0"/>
        <w:rPr>
          <w:rFonts w:eastAsia="黑体"/>
          <w:sz w:val="21"/>
          <w:szCs w:val="21"/>
        </w:rPr>
      </w:pPr>
      <w:r>
        <w:rPr>
          <w:rFonts w:eastAsia="黑体"/>
          <w:sz w:val="21"/>
          <w:szCs w:val="21"/>
        </w:rPr>
        <w:t>注：1.对以上（1）、（2）、（4）信用状况应附指定网站截图。</w:t>
      </w:r>
    </w:p>
    <w:p>
      <w:pPr>
        <w:pStyle w:val="4"/>
        <w:numPr>
          <w:ilvl w:val="0"/>
          <w:numId w:val="0"/>
        </w:numPr>
        <w:rPr>
          <w:rFonts w:eastAsia="黑体"/>
          <w:sz w:val="21"/>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BDA95D"/>
    <w:multiLevelType w:val="singleLevel"/>
    <w:tmpl w:val="CCBDA95D"/>
    <w:lvl w:ilvl="0" w:tentative="0">
      <w:start w:val="1"/>
      <w:numFmt w:val="bullet"/>
      <w:pStyle w:val="4"/>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3MjRhOGQ4ZGUwZTZiMDAwM2MwZDdhN2I1ZWM5MDAifQ=="/>
  </w:docVars>
  <w:rsids>
    <w:rsidRoot w:val="7E5B226E"/>
    <w:rsid w:val="7E5B2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1"/>
    <w:qFormat/>
    <w:uiPriority w:val="0"/>
    <w:pPr>
      <w:spacing w:after="120"/>
      <w:ind w:left="420" w:leftChars="200"/>
    </w:pPr>
  </w:style>
  <w:style w:type="paragraph" w:styleId="4">
    <w:name w:val="List Bullet"/>
    <w:basedOn w:val="1"/>
    <w:uiPriority w:val="0"/>
    <w:pPr>
      <w:numPr>
        <w:ilvl w:val="0"/>
        <w:numId w:val="1"/>
      </w:numPr>
    </w:pPr>
  </w:style>
  <w:style w:type="paragraph" w:customStyle="1" w:styleId="7">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2023-10-24T02:02:00Z</dcterms:created>
  <dc:creator>lenovo</dc:creator>
  <cp:lastModifiedBy>lenovo</cp:lastModifiedBy>
  <dcterms:modified xsi:type="dcterms:W3CDTF">2023-10-24T02:03:12Z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D70048F8F6294169812A07BF0730BF55_11</vt:lpwstr>
  </property>
</Properties>
</file>