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</w:t>
      </w:r>
      <w:r>
        <w:rPr>
          <w:b/>
          <w:bCs/>
          <w:sz w:val="28"/>
          <w:szCs w:val="28"/>
          <w:highlight w:val="none"/>
        </w:rPr>
        <w:t>1</w:t>
      </w:r>
    </w:p>
    <w:p>
      <w:pPr>
        <w:widowControl/>
        <w:jc w:val="center"/>
        <w:rPr>
          <w:highlight w:val="none"/>
        </w:rPr>
      </w:pPr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t>资格审查强制性资格条件（资质最低要求)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标段号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最低资质要求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ZSSB-1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ZSSB-2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同时具备：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highlight w:val="none"/>
              </w:rPr>
            </w:pPr>
            <w:r>
              <w:rPr>
                <w:highlight w:val="none"/>
              </w:rPr>
              <w:t>1.独立的法人资格，具备有效的营业执照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highlight w:val="none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为所采购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设备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制造厂商或采购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设备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制造厂商的授权经销商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代理商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如为授权经销商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或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bidi="ar-SA"/>
              </w:rPr>
              <w:t>代理商应提供制造厂商出具的品牌经销商授权书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eastAsia="zh-CN" w:bidi="ar-SA"/>
              </w:rPr>
              <w:t>。</w:t>
            </w:r>
          </w:p>
        </w:tc>
      </w:tr>
    </w:tbl>
    <w:p>
      <w:pPr>
        <w:widowControl/>
        <w:jc w:val="center"/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</w:pPr>
    </w:p>
    <w:p>
      <w:pPr>
        <w:widowControl/>
        <w:spacing w:line="360" w:lineRule="auto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  <w:t>注：投标人应根据上述要求在投标文件格式“基本情况表”后附相关证明材料，如营业执照、投标人为授权经销商/代理商还应提供制造厂商出具的授权材料复印件（盖有制造厂商的公章，格式自拟）。以上所提供的资料均为加盖投标单位公章的彩色扫描件。</w:t>
      </w:r>
    </w:p>
    <w:p>
      <w:pPr>
        <w:widowControl/>
        <w:jc w:val="center"/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</w:pPr>
    </w:p>
    <w:p>
      <w:pPr>
        <w:widowControl/>
        <w:jc w:val="center"/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</w:pPr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br w:type="page"/>
      </w:r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t>资格审查强制性资格条件（业绩最低要求)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标段号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widowControl/>
              <w:ind w:firstLine="840" w:firstLineChars="400"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最低业绩要求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ZSSB-1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  <w:p>
            <w:pPr>
              <w:widowControl/>
              <w:spacing w:line="480" w:lineRule="exact"/>
              <w:jc w:val="left"/>
              <w:rPr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近3年（20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20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年1月1日至投标截止日）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至少具有累计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数量不少于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3套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的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厂拌热再生设备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供货业绩。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ZSSB-2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近3年（20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20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年1月1日至投标截止日）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至少具有累计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数量不少于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3套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的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再生破碎筛分设备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bidi="ar"/>
              </w:rPr>
              <w:t>供货业绩。</w:t>
            </w:r>
          </w:p>
        </w:tc>
      </w:tr>
    </w:tbl>
    <w:p>
      <w:pPr>
        <w:widowControl/>
        <w:jc w:val="center"/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</w:pPr>
    </w:p>
    <w:p>
      <w:pPr>
        <w:widowControl/>
        <w:jc w:val="left"/>
        <w:rPr>
          <w:rFonts w:ascii="Times New Roman" w:hAnsi="Times New Roman"/>
          <w:kern w:val="0"/>
          <w:szCs w:val="21"/>
          <w:highlight w:val="none"/>
          <w:lang w:bidi="ar"/>
        </w:rPr>
      </w:pPr>
    </w:p>
    <w:p>
      <w:pPr>
        <w:widowControl/>
        <w:spacing w:line="360" w:lineRule="auto"/>
        <w:jc w:val="both"/>
        <w:rPr>
          <w:rFonts w:ascii="Times New Roman" w:hAnsi="Times New Roman"/>
          <w:kern w:val="0"/>
          <w:szCs w:val="21"/>
          <w:highlight w:val="none"/>
          <w:lang w:bidi="ar"/>
        </w:rPr>
      </w:pPr>
      <w:r>
        <w:rPr>
          <w:rFonts w:ascii="Times New Roman" w:hAnsi="Times New Roman"/>
          <w:kern w:val="0"/>
          <w:szCs w:val="21"/>
          <w:highlight w:val="none"/>
          <w:lang w:bidi="ar"/>
        </w:rPr>
        <w:t>注：1.证明材料要求同时具备：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①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销售合同的</w:t>
      </w:r>
      <w:r>
        <w:rPr>
          <w:rFonts w:hint="eastAsia" w:ascii="Times New Roman" w:hAnsi="Times New Roman"/>
          <w:kern w:val="0"/>
          <w:szCs w:val="21"/>
          <w:highlight w:val="none"/>
          <w:lang w:bidi="ar"/>
        </w:rPr>
        <w:t>复印件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(合同内容应能</w:t>
      </w:r>
      <w:r>
        <w:rPr>
          <w:rFonts w:hint="eastAsia" w:ascii="Times New Roman" w:hAnsi="Times New Roman"/>
          <w:kern w:val="0"/>
          <w:szCs w:val="21"/>
          <w:highlight w:val="none"/>
          <w:lang w:bidi="ar"/>
        </w:rPr>
        <w:t>反映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销售数量</w:t>
      </w:r>
      <w:r>
        <w:rPr>
          <w:rFonts w:hint="eastAsia" w:ascii="Times New Roman" w:hAnsi="Times New Roman"/>
          <w:kern w:val="0"/>
          <w:szCs w:val="21"/>
          <w:highlight w:val="none"/>
          <w:lang w:eastAsia="zh-CN" w:bidi="ar"/>
        </w:rPr>
        <w:t>，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不同合同中的数量可累计计算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)；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②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使用单位出具的货物交货证明(如验收报告或收货清单等)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或销售发票</w:t>
      </w:r>
      <w:r>
        <w:rPr>
          <w:rFonts w:hint="eastAsia" w:ascii="Times New Roman" w:hAnsi="Times New Roman"/>
          <w:kern w:val="0"/>
          <w:szCs w:val="21"/>
          <w:highlight w:val="none"/>
          <w:lang w:eastAsia="zh-CN" w:bidi="ar"/>
        </w:rPr>
        <w:t>。</w:t>
      </w:r>
      <w:r>
        <w:rPr>
          <w:rFonts w:hint="eastAsia" w:ascii="Times New Roman" w:hAnsi="Times New Roman"/>
          <w:kern w:val="0"/>
          <w:szCs w:val="21"/>
          <w:highlight w:val="none"/>
          <w:lang w:bidi="ar"/>
        </w:rPr>
        <w:t>提供的证明材料应能反映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设备</w:t>
      </w:r>
      <w:r>
        <w:rPr>
          <w:rFonts w:hint="eastAsia" w:ascii="Times New Roman" w:hAnsi="Times New Roman"/>
          <w:kern w:val="0"/>
          <w:szCs w:val="21"/>
          <w:highlight w:val="none"/>
          <w:lang w:bidi="ar"/>
        </w:rPr>
        <w:t>品牌、规格等，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 xml:space="preserve">否则该业绩将不予认可。 </w:t>
      </w:r>
    </w:p>
    <w:p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kern w:val="0"/>
          <w:sz w:val="24"/>
          <w:szCs w:val="24"/>
          <w:highlight w:val="none"/>
          <w:lang w:bidi="ar"/>
        </w:rPr>
      </w:pPr>
      <w:r>
        <w:rPr>
          <w:rFonts w:ascii="Times New Roman" w:hAnsi="Times New Roman"/>
          <w:kern w:val="0"/>
          <w:szCs w:val="21"/>
          <w:highlight w:val="none"/>
          <w:lang w:bidi="ar"/>
        </w:rPr>
        <w:t>投标人为制造厂商的授权经销商</w:t>
      </w:r>
      <w:r>
        <w:rPr>
          <w:rFonts w:hint="eastAsia" w:ascii="Times New Roman" w:hAnsi="Times New Roman"/>
          <w:kern w:val="0"/>
          <w:szCs w:val="21"/>
          <w:highlight w:val="none"/>
          <w:lang w:val="en-US" w:eastAsia="zh-CN" w:bidi="ar"/>
        </w:rPr>
        <w:t>或</w:t>
      </w:r>
      <w:r>
        <w:rPr>
          <w:rFonts w:ascii="Times New Roman" w:hAnsi="Times New Roman"/>
          <w:kern w:val="0"/>
          <w:szCs w:val="21"/>
          <w:highlight w:val="none"/>
          <w:lang w:bidi="ar"/>
        </w:rPr>
        <w:t>代理商的，授权的制造厂商提供的销售业绩可予以认定</w:t>
      </w:r>
      <w:r>
        <w:rPr>
          <w:rFonts w:hint="eastAsia" w:ascii="Times New Roman" w:hAnsi="Times New Roman"/>
          <w:kern w:val="0"/>
          <w:szCs w:val="21"/>
          <w:highlight w:val="none"/>
          <w:lang w:eastAsia="zh-CN" w:bidi="ar"/>
        </w:rPr>
        <w:t>。</w:t>
      </w:r>
    </w:p>
    <w:p>
      <w:pPr>
        <w:widowControl/>
        <w:jc w:val="left"/>
        <w:rPr>
          <w:rFonts w:ascii="Times New Roman" w:hAnsi="Times New Roman"/>
          <w:kern w:val="0"/>
          <w:sz w:val="24"/>
          <w:szCs w:val="24"/>
          <w:highlight w:val="none"/>
          <w:lang w:bidi="ar"/>
        </w:rPr>
      </w:pPr>
    </w:p>
    <w:p>
      <w:pPr>
        <w:widowControl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br w:type="page"/>
      </w:r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t>资格审查强制性资格条件</w:t>
      </w:r>
      <w:r>
        <w:rPr>
          <w:rFonts w:ascii="Times New Roman" w:hAnsi="Times New Roman"/>
          <w:kern w:val="0"/>
          <w:sz w:val="24"/>
          <w:szCs w:val="24"/>
          <w:highlight w:val="none"/>
          <w:lang w:bidi="ar"/>
        </w:rPr>
        <w:t>(财务最低要求)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标段号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widowControl/>
              <w:ind w:firstLine="840" w:firstLineChars="400"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kern w:val="0"/>
                <w:szCs w:val="21"/>
                <w:highlight w:val="none"/>
                <w:lang w:bidi="ar"/>
              </w:rPr>
              <w:t>最低财务要求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ZSSB-1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78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第一种方式：</w:t>
            </w:r>
          </w:p>
          <w:p>
            <w:pPr>
              <w:widowControl/>
              <w:spacing w:line="240" w:lineRule="auto"/>
              <w:jc w:val="both"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近3年每年的营业收入不少于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300</w:t>
            </w:r>
            <w:r>
              <w:rPr>
                <w:rFonts w:hint="eastAsia"/>
                <w:kern w:val="0"/>
                <w:szCs w:val="21"/>
                <w:highlight w:val="none"/>
              </w:rPr>
              <w:t>万元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第二种方式：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由银行出具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投标截止日</w:t>
            </w:r>
            <w:r>
              <w:rPr>
                <w:rFonts w:hint="eastAsia"/>
                <w:kern w:val="0"/>
                <w:szCs w:val="21"/>
                <w:highlight w:val="none"/>
              </w:rPr>
              <w:t>前3个月内（20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kern w:val="0"/>
                <w:szCs w:val="21"/>
                <w:highlight w:val="none"/>
              </w:rPr>
              <w:t>年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kern w:val="0"/>
                <w:szCs w:val="21"/>
                <w:highlight w:val="none"/>
              </w:rPr>
              <w:t>、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kern w:val="0"/>
                <w:szCs w:val="21"/>
                <w:highlight w:val="none"/>
              </w:rPr>
              <w:t>、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  <w:highlight w:val="none"/>
              </w:rPr>
              <w:t>月）的单位账户流水证明，3个月月末账户余额的平均值不少于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/>
                <w:kern w:val="0"/>
                <w:szCs w:val="21"/>
                <w:highlight w:val="none"/>
              </w:rPr>
              <w:t>万元。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Times New Roman" w:hAnsi="Times New Roman"/>
                <w:b/>
                <w:bCs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上述两种方式满足其中一种即可。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  <w:lang w:val="en-US" w:eastAsia="zh-CN" w:bidi="ar"/>
              </w:rPr>
              <w:t>ZSSB-2</w:t>
            </w:r>
          </w:p>
        </w:tc>
        <w:tc>
          <w:tcPr>
            <w:tcW w:w="6978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第一种方式：</w:t>
            </w:r>
          </w:p>
          <w:p>
            <w:pPr>
              <w:widowControl/>
              <w:spacing w:line="240" w:lineRule="auto"/>
              <w:jc w:val="both"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近3年每年的营业收入不少于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/>
                <w:kern w:val="0"/>
                <w:szCs w:val="21"/>
                <w:highlight w:val="none"/>
              </w:rPr>
              <w:t>万元。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第二种方式：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由银行出具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投标截止日</w:t>
            </w:r>
            <w:r>
              <w:rPr>
                <w:rFonts w:hint="eastAsia"/>
                <w:kern w:val="0"/>
                <w:szCs w:val="21"/>
                <w:highlight w:val="none"/>
              </w:rPr>
              <w:t>前3个月内（20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kern w:val="0"/>
                <w:szCs w:val="21"/>
                <w:highlight w:val="none"/>
              </w:rPr>
              <w:t>年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kern w:val="0"/>
                <w:szCs w:val="21"/>
                <w:highlight w:val="none"/>
              </w:rPr>
              <w:t>、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kern w:val="0"/>
                <w:szCs w:val="21"/>
                <w:highlight w:val="none"/>
              </w:rPr>
              <w:t>、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kern w:val="0"/>
                <w:szCs w:val="21"/>
                <w:highlight w:val="none"/>
              </w:rPr>
              <w:t>月）的单位账户流水证明，3个月月末账户余额的平均值不少于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/>
                <w:kern w:val="0"/>
                <w:szCs w:val="21"/>
                <w:highlight w:val="none"/>
              </w:rPr>
              <w:t>万元。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上述两种方式满足其中一种即可。</w:t>
            </w:r>
          </w:p>
        </w:tc>
      </w:tr>
    </w:tbl>
    <w:p>
      <w:pPr>
        <w:widowControl/>
        <w:jc w:val="both"/>
        <w:rPr>
          <w:rFonts w:ascii="Times New Roman" w:hAnsi="Times New Roman"/>
          <w:kern w:val="0"/>
          <w:szCs w:val="21"/>
          <w:highlight w:val="none"/>
          <w:u w:val="none"/>
          <w:lang w:bidi="ar"/>
        </w:rPr>
      </w:pPr>
    </w:p>
    <w:p>
      <w:pPr>
        <w:widowControl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u w:val="none"/>
          <w:lang w:bidi="ar"/>
        </w:rPr>
        <w:t>注：1.采用第一种方式的投标人的成立时间少于上述规定年份的，以成立以来的年平均营业收入认定（提供相应年份的经会计师事务所或审计机构审计的财务会计报表，无相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应财务会计报表的不予认可）。</w:t>
      </w:r>
    </w:p>
    <w:p>
      <w:pPr>
        <w:widowControl/>
        <w:ind w:firstLine="210" w:firstLineChars="100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2.采用第二种方式应附银行出具（须银行盖章）申请日前3个月内的单位账户流水证明。</w:t>
      </w:r>
    </w:p>
    <w:p>
      <w:pPr>
        <w:widowControl/>
        <w:ind w:firstLine="210" w:firstLineChars="100"/>
        <w:rPr>
          <w:rFonts w:hint="default"/>
          <w:highlight w:val="none"/>
        </w:rPr>
        <w:sectPr>
          <w:pgSz w:w="11906" w:h="16838" w:orient="landscape"/>
          <w:pgMar w:top="1247" w:right="1134" w:bottom="1134" w:left="1247" w:header="999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3.近3年是指：20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  <w:t>20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，20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  <w:t>21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，202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bidi="ar"/>
        </w:rPr>
        <w:t>年。</w:t>
      </w:r>
    </w:p>
    <w:p>
      <w:pPr>
        <w:numPr>
          <w:ilvl w:val="0"/>
          <w:numId w:val="0"/>
        </w:numPr>
        <w:spacing w:line="400" w:lineRule="exact"/>
        <w:jc w:val="left"/>
        <w:outlineLvl w:val="0"/>
        <w:rPr>
          <w:rFonts w:hint="default" w:ascii="Times New Roman" w:hAnsi="Times New Roman"/>
          <w:color w:val="auto"/>
          <w:sz w:val="36"/>
          <w:szCs w:val="36"/>
          <w:highlight w:val="none"/>
        </w:rPr>
      </w:pPr>
      <w:bookmarkStart w:id="0" w:name="_Toc13879"/>
      <w:r>
        <w:rPr>
          <w:rFonts w:ascii="Times New Roman" w:hAnsi="Times New Roman" w:eastAsia="黑体"/>
          <w:kern w:val="0"/>
          <w:sz w:val="24"/>
          <w:szCs w:val="24"/>
          <w:highlight w:val="none"/>
          <w:lang w:bidi="ar"/>
        </w:rPr>
        <w:t>附件2</w:t>
      </w:r>
      <w:bookmarkEnd w:id="0"/>
    </w:p>
    <w:p>
      <w:pPr>
        <w:jc w:val="center"/>
        <w:rPr>
          <w:sz w:val="44"/>
          <w:szCs w:val="44"/>
          <w:highlight w:val="none"/>
        </w:rPr>
      </w:pPr>
      <w:r>
        <w:rPr>
          <w:sz w:val="36"/>
          <w:szCs w:val="36"/>
          <w:highlight w:val="none"/>
        </w:rPr>
        <w:t>设备采购清单</w:t>
      </w:r>
    </w:p>
    <w:tbl>
      <w:tblPr>
        <w:tblStyle w:val="7"/>
        <w:tblW w:w="13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14"/>
        <w:gridCol w:w="2238"/>
        <w:gridCol w:w="6810"/>
        <w:gridCol w:w="1096"/>
        <w:gridCol w:w="87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标段号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货物名称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zh-CN"/>
              </w:rPr>
              <w:t>名称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zh-CN"/>
              </w:rPr>
              <w:t>技术规格内容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采购数量（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套</w:t>
            </w:r>
            <w:r>
              <w:rPr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业绩要求最低数量(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套</w:t>
            </w:r>
            <w:r>
              <w:rPr>
                <w:kern w:val="0"/>
                <w:szCs w:val="21"/>
                <w:highlight w:val="none"/>
              </w:rPr>
              <w:t>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>ZSSB-1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厂拌热再生设备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  <w:t>主要技术指标和要求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设备型号：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适用于3000型沥青搅拌站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基本形式：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模块可搬式、强制间歇式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生产能力：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val="en-US" w:eastAsia="zh-CN"/>
              </w:rPr>
              <w:t>160t/h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再生料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1.4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最大添加比例：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≥50%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  <w:highlight w:val="none"/>
              </w:rPr>
              <w:t>供货范围：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整套设备主要包括冷料供给系统、提升系统、干燥系统、主楼框架及储存热料、计量输送系统、烟气处理系统、控制系统等。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配电条件：</w:t>
            </w: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>380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V</w:t>
            </w: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>/50Hz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，交流电（三相四线制）；照明电压</w:t>
            </w: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>220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V；全部电器线路有过载安全保护装置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含与设备功率相匹配主电缆。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  <w:t>环境保护要求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粉尘排放：≤</w:t>
            </w: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㎎</w:t>
            </w: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N</w:t>
            </w: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>m3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控制室内噪音：≤</w:t>
            </w: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>70dB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环境噪音：≤80dB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烟气排放符合林格曼一级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  <w:t>冷料供给系统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3.1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冷料仓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个，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单个仓分体式，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每个料仓有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防大料格网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，料仓仓体需设有方便巡视的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护栏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安全装置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护栏高1.2m、防滑踏板、护栏爬梯）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单仓容量≥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ascii="宋体" w:hAnsi="宋体" w:eastAsia="宋体"/>
                <w:b/>
                <w:color w:val="000000"/>
                <w:szCs w:val="21"/>
                <w:highlight w:val="none"/>
              </w:rPr>
              <w:t>m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³，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上料口宽度应≥3.5</w:t>
            </w:r>
            <w:r>
              <w:rPr>
                <w:rFonts w:ascii="宋体" w:hAnsi="宋体" w:eastAsia="宋体"/>
                <w:color w:val="000000"/>
                <w:szCs w:val="21"/>
                <w:highlight w:val="none"/>
              </w:rPr>
              <w:t>m，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每个仓应可单独精确地调节给料量，保证供应精度；设有</w:t>
            </w:r>
            <w:r>
              <w:rPr>
                <w:rFonts w:ascii="宋体" w:hAnsi="宋体" w:eastAsia="宋体"/>
                <w:color w:val="000000"/>
                <w:szCs w:val="21"/>
                <w:highlight w:val="none"/>
              </w:rPr>
              <w:t>缺料检测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装置，安装有</w:t>
            </w:r>
            <w:r>
              <w:rPr>
                <w:rFonts w:ascii="宋体" w:hAnsi="宋体" w:eastAsia="宋体"/>
                <w:color w:val="000000"/>
                <w:szCs w:val="21"/>
                <w:highlight w:val="none"/>
              </w:rPr>
              <w:t>声光报警系统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3.2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喂料器的能力应与设备最大生产能力有良好的匹配，喂料速度能在控制室按设定的范围进行无级调速，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知名品牌减速电机驱动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，调速方式应采用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知名品牌产品变频器变频控制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，操作方便</w:t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</w:rPr>
              <w:t>，单仓输出能力</w:t>
            </w:r>
            <w:r>
              <w:rPr>
                <w:rFonts w:ascii="宋体" w:hAnsi="宋体" w:eastAsia="宋体" w:cs="宋体"/>
                <w:color w:val="000000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0~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  <w:t>150</w:t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</w:rPr>
              <w:t>t/h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  <w:highlight w:val="none"/>
                <w:lang w:val="en-US" w:eastAsia="zh-CN"/>
              </w:rPr>
              <w:t>3.3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上料皮带机应采用进口知名品牌减速电机驱动，最大输送能力≥1</w:t>
            </w:r>
            <w:r>
              <w:rPr>
                <w:rFonts w:ascii="宋体" w:hAnsi="宋体" w:eastAsia="宋体"/>
                <w:color w:val="000000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0t/h；与设备的最大生产能力相匹配。需配有上料检测装置；应采用无接缝皮带，皮带层数≥4，有张紧、防溢出、自清扫的功能，防止粘料；配有头部、尾部清扫器，皮带输送机均装有进口知名品牌安全保护装置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3.4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应配备知名品牌仓壁振动器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，每仓设置1个；保证卸料顺畅，防止震动对仓壁造成损坏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  <w:t>再生料提升系统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  <w:highlight w:val="none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须采用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  <w:t>板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式斗</w:t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</w:rPr>
              <w:t>提机，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提升能力应≥1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宋体" w:hAnsi="宋体" w:eastAsia="宋体" w:cs="Arial"/>
                <w:color w:val="000000"/>
                <w:szCs w:val="21"/>
                <w:highlight w:val="none"/>
              </w:rPr>
              <w:t>0t/h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，高耐磨链条，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知名品牌</w:t>
            </w:r>
            <w:r>
              <w:rPr>
                <w:rFonts w:ascii="宋体" w:hAnsi="宋体" w:eastAsia="宋体"/>
                <w:b/>
                <w:color w:val="000000"/>
                <w:szCs w:val="21"/>
                <w:highlight w:val="none"/>
              </w:rPr>
              <w:t>制动电机减速器驱动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提升机应配有安全开关。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  <w:highlight w:val="none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提升机溜道，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需配耐磨结构；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需设有检修门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  <w:t>再生干燥系统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在额定工况、材料条件下，再生干燥滚筒的能力应与最大生产能力相匹配。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干燥滚筒需采用国际先进技术，热辐射和热交换混合加热,采用国际先机的无炉膛结构；滚筒驱动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采用摩擦驱动形式，驱动电机采用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知名品牌轴装式减速电机；滚轮和滚圈应采用整体锻造形式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，叶片应采用长寿命的高硬质、耐磨、耐高温的材料，应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采用防粘耙式+链条结构且带防粘结构设计，防止滚筒粘料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；</w:t>
            </w:r>
            <w:r>
              <w:rPr>
                <w:rFonts w:ascii="宋体" w:hAnsi="宋体" w:eastAsia="宋体"/>
                <w:color w:val="000000"/>
                <w:szCs w:val="21"/>
                <w:highlight w:val="none"/>
              </w:rPr>
              <w:t>整体隔热保温，不锈钢面饰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干燥滚筒出料口需采用再生料红外线温度测量装置；滚筒负压需自动控制，负压波动小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干燥滚筒筒体与滚圈需采用国际先进的加工工艺，托轮定位采用国际一线工艺（附件详细描述定位工艺附照片），保证加工精度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5.4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匹配燃烧器品牌应为一线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zh-CN"/>
              </w:rPr>
              <w:t>品牌，匹配搅拌站。采用重油、天然气两用型燃烧器，配风与配油量均采用变频控制，具备自动点火功能。</w:t>
            </w:r>
            <w:r>
              <w:rPr>
                <w:rFonts w:hint="eastAsia" w:ascii="宋体" w:hAnsi="宋体" w:eastAsia="宋体"/>
                <w:color w:val="000000"/>
                <w:highlight w:val="none"/>
              </w:rPr>
              <w:t>燃烧器风油调节比不能小于1：8；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燃烧器采用低压雾化形式，耗油量≤6kg/t或≤7m³天然气/t成品料。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5.5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配备燃气阀组且须为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val="en-US" w:eastAsia="zh-CN"/>
              </w:rPr>
              <w:t>知名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品牌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  <w:t>主楼框架及储料计量输送系统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主楼框架应采用模块化结构，快速拼装，稳定可靠；走台护栏应符合人机工程学、安全、稳定。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6.2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再生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料储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存仓：容量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10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t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；需采用称重连续式料位检测；内部需设有耐磨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衬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板，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使用大锥角，圆形料仓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；外部包保温材料以及加热装置，防止仓内粘料；需采用带电加热双弧门结构，具有加热保温门，具备防止漏料、粘料结构 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6.3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再生料计量仓：容量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3t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采用进口压式称量模块精确计量，静态计量精度±0.5%；需具有落差补偿功能，自动补扣秤功能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内部需设有耐磨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衬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板，无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粘料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死角设计；外部包保温材料以及加热装置，防止仓内粘料；需采用带电加热双弧门结构，防止漏料、粘料。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  <w:t>烟气处理系统（进原生烘干筒二次燃烧）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7.1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烟气温度智能检测，并可与燃烧器、引风机联动控制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烟气引风机需采用高温防锈结构。风机叶轮需采用特殊材料，防粘连设计；设有风量自动控制系统，引风机须功率≥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5kW。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/>
                <w:b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7.3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引风机的电机和轴承需为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  <w:t>知名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品牌。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再生烟气需进入原生滚筒进行二次燃烧。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</w:rPr>
              <w:t>中央控制系统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8.1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厂家自主控制系统，须与原生机系统融合操作，再生控制系统集成于原生机系统。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jc w:val="left"/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8.2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工业控制系统，三维立体画面，中文操作界面；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highlight w:val="none"/>
              </w:rPr>
              <w:t>应提供自动、手动两种工作方式，无干扰切换。</w:t>
            </w:r>
          </w:p>
          <w:p>
            <w:pPr>
              <w:pStyle w:val="4"/>
              <w:numPr>
                <w:ilvl w:val="0"/>
                <w:numId w:val="0"/>
              </w:numPr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8.3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电气元件需为西门子、施耐德、欧姆龙等进口元件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滚筒电流、负压、温度等各项检测数据在线实时监控显示；远程服务诊断系统；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9、再生剂添加装置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/>
              <w:adjustRightIn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再生剂添加装置：储料罐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/>
                <w:color w:val="000000"/>
                <w:szCs w:val="21"/>
                <w:highlight w:val="none"/>
                <w:lang w:val="en-US" w:eastAsia="zh-CN"/>
              </w:rPr>
              <w:t>t，传感器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  <w:t>50Kg，计量斗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  <w:t>0.02m³。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highlight w:val="none"/>
                <w:lang w:val="en-US" w:eastAsia="zh-CN"/>
              </w:rPr>
              <w:t>10、独立螺杆式空压机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val="en-US" w:eastAsia="zh-CN"/>
              </w:rPr>
              <w:t>10、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独立螺杆式空压机，集气罐容量≥1.0m³。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ZSSB-2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RAP骨料再生设备（沥青精细剥离）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zh-CN"/>
              </w:rPr>
              <w:t>结构形式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zh-CN"/>
              </w:rPr>
              <w:t>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zh-CN"/>
              </w:rPr>
              <w:t>模块化楼体设计，拆装、运输方便。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zh-CN"/>
              </w:rPr>
              <w:t>基本作业功能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要求设备能处理并筛分出合格的RAP分级料（≥5种），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5mm以上成品料中假颗粒含量≤10%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生产能力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在标准工况，额定生产能力：≥120吨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小时。</w:t>
            </w: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设备配置基本要求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整套设备需包括冷料供给系统、回料系统、初筛分系统、提升系统、剥离系统、筛分系统、成品料输送系统、除尘系统、控制系统等；设备各分系统相对独立，但相互间配置合理，生产能力相当，各系统结构简单、紧凑，整套设备布局合理，安装和拆卸安全、方便、快捷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工作条件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原料粒径≤40mm,含水率≤2%；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海拔高度：≤1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000m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环境温度：—5℃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+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℃；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配电条件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380V/50Hz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，交流电（三相四线制）：照明电压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220V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，全部电器线路有过载安全保护装置。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配置与设备功率相匹配三相四线铠装铜芯主电缆。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设备性能基本要求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设备工作稳定性高，安全保障性高，运行能耗低，运输、搬迁方便。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8" w:type="dxa"/>
            <w:gridSpan w:val="2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原料供给系统：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配料料斗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料斗容量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≥9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配有超粒径剔除装置，最大粒径≤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0mm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带有振动力可调的仓壁振动器和气动破拱，保证下料顺畅；配有缺料声光报警装置，配有检修平台。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皮带喂料机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输送能力不小于120t/h，采用国内外知名品牌变频控制；皮带给料器采用无接口、高强度、高耐磨、带裙边橡胶皮带，配备断料声、光指示装置。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上料输送机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输送能力不小于150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t/h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，皮带驱动滚筒须包胶处理，包胶可实现在线快速更换，皮带张紧度可调，无接口，高强耐磨，需配备振动式筛分设备去除超粒径原料及杂物。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提升系统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完全封闭的环链提升机，提升能力≥120t/h。驱动须采用进口品牌的直联式减速电机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提升斗和链条材料应采用耐磨材料，该机构应设有制动装置及链条张紧装置，有必要的检查孔。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8" w:type="dxa"/>
            <w:gridSpan w:val="2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楼体（破碎、筛分、除尘）系统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结构形式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模块集成式，便于安装，搅拌楼体的密封部分和负压吸尘装置环保、可靠、无粉尘逸出。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提升机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热料提升机采用完全封闭的高强度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环链链提升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机，整体模块式，可快速拆装。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提升机壳体应封闭良好，提升能力≥120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t/h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。驱动须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采用进口品牌的直联式减速电机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提升斗和链条材料应采用耐磨、耐高温的材料，该机构应设有制动装置及链条张紧装置，有必要的检查孔。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破碎系统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破碎能力应≥120t/h，满足生产要求;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5mm以上成品料中假颗粒含量≤10%。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筛分系统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能筛分出5种规格的骨料,最小规格0~3mm。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筛分能力：≥120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t/h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，筛分能力需与设备的最大生产能力相匹配。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筛分效率（标准工况）：≥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振动筛采用振动电机驱动，振动电机为国际知名品牌。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振动驱动方式：振动电机直接驱动。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筛网的维护和抽拉更换方便快捷。配置筛网更换工具。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除尘系统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采用布袋脉冲除尘方式，集成于主楼上，模块快速拆装。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粉尘能回收再利用，除尘回收粉尘通过螺旋输送器送到细料成品皮带机。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应满足90%的大于0.075mm的细料回收。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除尘效果要求废气含尘量≤30mg/Nm³，引风机最大风量≥24000m³/h，风量满足主楼内使用。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除尘效果应满足环保要求。布袋除尘能自动排尘，以保证布袋除尘器的最佳工作状态。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成品料输送机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输送能力不小于80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t/h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，皮带驱动滚筒须包胶，包胶可在线快速更换，皮带张紧度可调，无接口，高强耐磨。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48" w:type="dxa"/>
            <w:gridSpan w:val="2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中央控制系统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: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控制系统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控制系统为全电脑控制与监控显示管理系统，采用全自动方式操作整套设备的工作流程。所有运转机构部件的工作状态、能显示在屏幕上，并采用全中文工作界面进行管理和调整，下达操作工作指令。整个控制系统亦具备操作功能，所有组件皆可全自动或手动操作。基本控制系统应与整机的安全、高效运行相匹配，基本控制功能齐全并以彩色图表形式显示工作画面和设备管理画面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控制系统采用计算机控制；自动控制系统有故障自我诊断和报警提示功能，并自动记录故障及历史查询，生产过程在线监控；各控制按钮和开关的位置应便于操作和维修，并备有紧急制动和断电操作按钮。</w:t>
            </w:r>
          </w:p>
        </w:tc>
        <w:tc>
          <w:tcPr>
            <w:tcW w:w="109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控制室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控制室结构坚固、独立式、密封良好，具有隔音、隔热、防震、防尘、防潮等功能。仪表、报警装置，紧急控制装置、键盘、控制屏等按工艺顺序及人机工程学要求，合理布置。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控制功能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全计算机操作，动态直观的人机界面，为用户带来便捷、稳定可靠的人机交互体验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系统提供联锁、调试模式；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高度智能化生产，一键式启停，生产流程自动执行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电气元件需为ABB、施耐德、三菱、英威腾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等国际国内知名品牌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关键部件电流、负压等各项检测数据在线实时监控显示。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提供的技术文件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随机资料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基础图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电路图，中文操作说明书等。</w:t>
            </w:r>
          </w:p>
        </w:tc>
        <w:tc>
          <w:tcPr>
            <w:tcW w:w="109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bidi="ar"/>
        </w:rPr>
        <w:t>：</w:t>
      </w:r>
    </w:p>
    <w:p>
      <w:pPr>
        <w:numPr>
          <w:ilvl w:val="0"/>
          <w:numId w:val="2"/>
        </w:numPr>
        <w:spacing w:line="560" w:lineRule="exact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bidi="ar"/>
        </w:rPr>
        <w:t>根据招标人要求，为上述供货设备喷涂统一颜色和标识。</w:t>
      </w:r>
    </w:p>
    <w:p>
      <w:pPr>
        <w:numPr>
          <w:ilvl w:val="0"/>
          <w:numId w:val="0"/>
        </w:numPr>
        <w:spacing w:line="560" w:lineRule="exact"/>
        <w:rPr>
          <w:rFonts w:hint="default"/>
          <w:highlight w:val="none"/>
        </w:rPr>
        <w:sectPr>
          <w:pgSz w:w="16838" w:h="11906"/>
          <w:pgMar w:top="1134" w:right="1134" w:bottom="1247" w:left="1247" w:header="999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highlight w:val="none"/>
          <w:lang w:val="en-US" w:eastAsia="zh-CN" w:bidi="ar"/>
        </w:rPr>
        <w:t>2、投标人应按上表技术参数（技术性能指标）以及拟供设备（货物）实际情况填写投标文件格式：六-技术参数偏离表，若拟供设备（货物）带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highlight w:val="none"/>
          <w:lang w:val="en-US" w:eastAsia="zh-CN" w:bidi="ar"/>
        </w:rPr>
        <w:t>技术参数（技术性能指标）低于上述技术参数（技术性能指标）视为未响应招标文件要求，其投标应当被否决。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F5150"/>
    <w:multiLevelType w:val="singleLevel"/>
    <w:tmpl w:val="87CF515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5BE1B9E"/>
    <w:multiLevelType w:val="singleLevel"/>
    <w:tmpl w:val="45BE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2M5MDc0ODdjM2Y0Y2UxN2IzODNmMGRkNTI0NzQifQ=="/>
  </w:docVars>
  <w:rsids>
    <w:rsidRoot w:val="5B6A6E90"/>
    <w:rsid w:val="5B6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next w:val="5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customStyle="1" w:styleId="5">
    <w:name w:val="无格式"/>
    <w:qFormat/>
    <w:uiPriority w:val="0"/>
    <w:pPr>
      <w:jc w:val="both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6">
    <w:name w:val="Normal (Web)"/>
    <w:basedOn w:val="1"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2023-08-17T00:16:00Z</dcterms:created>
  <dc:creator>David</dc:creator>
  <cp:lastModifiedBy>David</cp:lastModifiedBy>
  <dcterms:modified xsi:type="dcterms:W3CDTF">2023-08-17T00:19:57Z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89A46E6C679B4CEE86E0C1C78F663AAD_11</vt:lpwstr>
  </property>
</Properties>
</file>