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highlight w:val="none"/>
        </w:rPr>
      </w:pPr>
      <w:bookmarkStart w:id="0" w:name="_Toc13701"/>
      <w:bookmarkStart w:id="1" w:name="_Toc22389"/>
      <w:r>
        <w:rPr>
          <w:rFonts w:hint="eastAsia"/>
          <w:b/>
          <w:bCs/>
          <w:highlight w:val="none"/>
        </w:rPr>
        <w:t>附</w:t>
      </w:r>
      <w:bookmarkEnd w:id="0"/>
      <w:bookmarkEnd w:id="1"/>
      <w:r>
        <w:rPr>
          <w:rFonts w:hint="eastAsia"/>
          <w:b/>
          <w:bCs/>
          <w:highlight w:val="none"/>
        </w:rPr>
        <w:t>件1</w:t>
      </w:r>
    </w:p>
    <w:p>
      <w:pPr>
        <w:snapToGrid w:val="0"/>
        <w:spacing w:line="360" w:lineRule="auto"/>
        <w:jc w:val="center"/>
        <w:rPr>
          <w:rFonts w:eastAsia="黑体"/>
          <w:highlight w:val="none"/>
        </w:rPr>
      </w:pPr>
    </w:p>
    <w:p>
      <w:pPr>
        <w:snapToGrid w:val="0"/>
        <w:spacing w:line="360" w:lineRule="auto"/>
        <w:jc w:val="center"/>
        <w:rPr>
          <w:rFonts w:eastAsia="黑体"/>
          <w:highlight w:val="none"/>
        </w:rPr>
      </w:pPr>
      <w:r>
        <w:rPr>
          <w:rFonts w:eastAsia="黑体"/>
          <w:highlight w:val="none"/>
        </w:rPr>
        <w:t>附录1  资格</w:t>
      </w:r>
      <w:r>
        <w:rPr>
          <w:rFonts w:hint="eastAsia" w:eastAsia="黑体"/>
          <w:highlight w:val="none"/>
        </w:rPr>
        <w:t>审查</w:t>
      </w:r>
      <w:r>
        <w:rPr>
          <w:rFonts w:eastAsia="黑体"/>
          <w:highlight w:val="none"/>
        </w:rPr>
        <w:t>条件</w:t>
      </w:r>
      <w:r>
        <w:rPr>
          <w:rFonts w:hint="eastAsia" w:eastAsia="黑体"/>
          <w:highlight w:val="none"/>
        </w:rPr>
        <w:t>（</w:t>
      </w:r>
      <w:r>
        <w:rPr>
          <w:rFonts w:eastAsia="黑体"/>
          <w:highlight w:val="none"/>
        </w:rPr>
        <w:t>资质最低要求</w:t>
      </w:r>
      <w:r>
        <w:rPr>
          <w:rFonts w:hint="eastAsia" w:eastAsia="黑体"/>
          <w:highlight w:val="none"/>
        </w:rPr>
        <w:t>）</w:t>
      </w:r>
    </w:p>
    <w:p>
      <w:pPr>
        <w:snapToGrid w:val="0"/>
        <w:spacing w:line="360" w:lineRule="auto"/>
        <w:rPr>
          <w:highlight w:val="none"/>
        </w:rPr>
      </w:pPr>
    </w:p>
    <w:tbl>
      <w:tblPr>
        <w:tblStyle w:val="9"/>
        <w:tblW w:w="8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7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2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标段</w:t>
            </w:r>
          </w:p>
        </w:tc>
        <w:tc>
          <w:tcPr>
            <w:tcW w:w="71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  <w:jc w:val="center"/>
        </w:trPr>
        <w:tc>
          <w:tcPr>
            <w:tcW w:w="122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CG-1包</w:t>
            </w:r>
          </w:p>
        </w:tc>
        <w:tc>
          <w:tcPr>
            <w:tcW w:w="717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0"/>
                <w:sz w:val="24"/>
                <w:szCs w:val="21"/>
                <w:highlight w:val="none"/>
              </w:rPr>
              <w:t>1.独立的法人资格，具备有效的营业执照；</w:t>
            </w:r>
          </w:p>
          <w:p>
            <w:pPr>
              <w:widowControl/>
              <w:spacing w:line="360" w:lineRule="auto"/>
              <w:rPr>
                <w:rFonts w:hint="eastAsia" w:eastAsia="宋体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2.为所采购设备制造厂商(提供进口设备的应为该设备进口商) </w:t>
            </w:r>
            <w:r>
              <w:rPr>
                <w:rFonts w:hint="eastAsia" w:cs="Times New Roman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</w:tr>
    </w:tbl>
    <w:p>
      <w:pPr>
        <w:spacing w:line="360" w:lineRule="auto"/>
        <w:rPr>
          <w:rFonts w:ascii="Times New Roman" w:hAnsi="Times New Roman" w:eastAsia="黑体" w:cs="Times New Roman"/>
          <w:sz w:val="21"/>
          <w:szCs w:val="24"/>
          <w:highlight w:val="none"/>
          <w:lang w:val="en-US" w:eastAsia="zh-CN" w:bidi="ar-SA"/>
        </w:rPr>
      </w:pPr>
    </w:p>
    <w:p>
      <w:pPr>
        <w:snapToGrid w:val="0"/>
        <w:spacing w:line="360" w:lineRule="auto"/>
        <w:ind w:firstLine="240" w:firstLineChars="100"/>
        <w:jc w:val="both"/>
        <w:rPr>
          <w:rFonts w:eastAsia="黑体"/>
          <w:highlight w:val="none"/>
        </w:rPr>
      </w:pPr>
      <w:r>
        <w:rPr>
          <w:rFonts w:hint="default" w:eastAsia="宋体"/>
          <w:color w:val="auto"/>
          <w:sz w:val="24"/>
          <w:szCs w:val="21"/>
          <w:highlight w:val="none"/>
          <w:lang w:val="en-US" w:eastAsia="zh-CN"/>
        </w:rPr>
        <w:t>注：本项目不接受经销商或代理商</w:t>
      </w:r>
      <w:r>
        <w:rPr>
          <w:rFonts w:hint="eastAsia"/>
          <w:color w:val="auto"/>
          <w:sz w:val="24"/>
          <w:szCs w:val="21"/>
          <w:highlight w:val="none"/>
          <w:lang w:val="en-US" w:eastAsia="zh-CN"/>
        </w:rPr>
        <w:t>申请</w:t>
      </w:r>
      <w:r>
        <w:rPr>
          <w:rFonts w:hint="default" w:eastAsia="宋体"/>
          <w:color w:val="auto"/>
          <w:sz w:val="24"/>
          <w:szCs w:val="21"/>
          <w:highlight w:val="none"/>
          <w:lang w:val="en-US" w:eastAsia="zh-CN"/>
        </w:rPr>
        <w:t>。</w:t>
      </w:r>
      <w:r>
        <w:rPr>
          <w:rFonts w:eastAsia="隶书"/>
          <w:sz w:val="32"/>
          <w:highlight w:val="none"/>
        </w:rPr>
        <w:br w:type="page"/>
      </w:r>
      <w:r>
        <w:rPr>
          <w:rFonts w:eastAsia="黑体"/>
          <w:highlight w:val="none"/>
        </w:rPr>
        <w:t>附录2  资格</w:t>
      </w:r>
      <w:r>
        <w:rPr>
          <w:rFonts w:hint="eastAsia" w:eastAsia="黑体"/>
          <w:highlight w:val="none"/>
        </w:rPr>
        <w:t>审查</w:t>
      </w:r>
      <w:r>
        <w:rPr>
          <w:rFonts w:eastAsia="黑体"/>
          <w:highlight w:val="none"/>
        </w:rPr>
        <w:t>条件</w:t>
      </w:r>
      <w:r>
        <w:rPr>
          <w:rFonts w:hint="eastAsia" w:eastAsia="黑体"/>
          <w:highlight w:val="none"/>
        </w:rPr>
        <w:t>（</w:t>
      </w:r>
      <w:r>
        <w:rPr>
          <w:rFonts w:eastAsia="黑体"/>
          <w:highlight w:val="none"/>
        </w:rPr>
        <w:t>财务最低要求</w:t>
      </w:r>
      <w:r>
        <w:rPr>
          <w:rFonts w:hint="eastAsia" w:eastAsia="黑体"/>
          <w:highlight w:val="none"/>
        </w:rPr>
        <w:t>）</w:t>
      </w:r>
    </w:p>
    <w:p>
      <w:pPr>
        <w:snapToGrid w:val="0"/>
        <w:spacing w:line="360" w:lineRule="auto"/>
        <w:rPr>
          <w:highlight w:val="none"/>
        </w:rPr>
      </w:pPr>
    </w:p>
    <w:tbl>
      <w:tblPr>
        <w:tblStyle w:val="9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7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8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标段</w:t>
            </w:r>
          </w:p>
        </w:tc>
        <w:tc>
          <w:tcPr>
            <w:tcW w:w="745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财务要求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3" w:hRule="atLeast"/>
          <w:jc w:val="center"/>
        </w:trPr>
        <w:tc>
          <w:tcPr>
            <w:tcW w:w="128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CG-1包</w:t>
            </w:r>
          </w:p>
        </w:tc>
        <w:tc>
          <w:tcPr>
            <w:tcW w:w="7452" w:type="dxa"/>
            <w:vAlign w:val="center"/>
          </w:tcPr>
          <w:p>
            <w:pPr>
              <w:pStyle w:val="8"/>
              <w:spacing w:after="0" w:line="360" w:lineRule="exact"/>
              <w:ind w:left="0" w:leftChars="0" w:firstLine="0" w:firstLineChars="0"/>
              <w:rPr>
                <w:szCs w:val="22"/>
                <w:highlight w:val="none"/>
                <w:lang w:bidi="ar"/>
              </w:rPr>
            </w:pPr>
            <w:r>
              <w:rPr>
                <w:szCs w:val="22"/>
                <w:highlight w:val="none"/>
                <w:lang w:bidi="ar"/>
              </w:rPr>
              <w:t>第一种方式</w:t>
            </w:r>
          </w:p>
          <w:p>
            <w:pPr>
              <w:pStyle w:val="8"/>
              <w:spacing w:after="0" w:line="360" w:lineRule="exact"/>
              <w:ind w:left="0" w:leftChars="0" w:firstLine="0" w:firstLineChars="0"/>
              <w:rPr>
                <w:szCs w:val="22"/>
                <w:highlight w:val="none"/>
                <w:lang w:bidi="ar"/>
              </w:rPr>
            </w:pPr>
            <w:r>
              <w:rPr>
                <w:szCs w:val="22"/>
                <w:highlight w:val="none"/>
                <w:lang w:bidi="ar"/>
              </w:rPr>
              <w:t>近三年每年的营业收入不少于</w:t>
            </w:r>
            <w:r>
              <w:rPr>
                <w:rFonts w:hint="eastAsia"/>
                <w:szCs w:val="22"/>
                <w:highlight w:val="none"/>
                <w:lang w:val="en-US" w:eastAsia="zh-CN" w:bidi="ar"/>
              </w:rPr>
              <w:t>1000</w:t>
            </w:r>
            <w:r>
              <w:rPr>
                <w:szCs w:val="22"/>
                <w:highlight w:val="none"/>
                <w:lang w:bidi="ar"/>
              </w:rPr>
              <w:t>万元。</w:t>
            </w:r>
          </w:p>
          <w:p>
            <w:pPr>
              <w:pStyle w:val="8"/>
              <w:spacing w:after="0" w:line="360" w:lineRule="exact"/>
              <w:ind w:left="0" w:leftChars="0" w:firstLine="0" w:firstLineChars="0"/>
              <w:rPr>
                <w:szCs w:val="22"/>
                <w:highlight w:val="none"/>
                <w:lang w:bidi="ar"/>
              </w:rPr>
            </w:pPr>
            <w:r>
              <w:rPr>
                <w:szCs w:val="22"/>
                <w:highlight w:val="none"/>
                <w:lang w:bidi="ar"/>
              </w:rPr>
              <w:t>第二种方式</w:t>
            </w:r>
          </w:p>
          <w:p>
            <w:pPr>
              <w:pStyle w:val="8"/>
              <w:spacing w:after="0" w:line="360" w:lineRule="exact"/>
              <w:ind w:left="0" w:leftChars="0" w:firstLine="0" w:firstLineChars="0"/>
              <w:rPr>
                <w:highlight w:val="none"/>
              </w:rPr>
            </w:pPr>
            <w:r>
              <w:rPr>
                <w:szCs w:val="22"/>
                <w:highlight w:val="none"/>
                <w:lang w:bidi="ar"/>
              </w:rPr>
              <w:t>由银行出具</w:t>
            </w:r>
            <w:r>
              <w:rPr>
                <w:b/>
                <w:bCs/>
                <w:szCs w:val="22"/>
                <w:highlight w:val="none"/>
                <w:lang w:bidi="ar"/>
              </w:rPr>
              <w:t>（须有银行盖章）</w:t>
            </w:r>
            <w:r>
              <w:rPr>
                <w:szCs w:val="22"/>
                <w:highlight w:val="none"/>
                <w:lang w:bidi="ar"/>
              </w:rPr>
              <w:t>申请日前3个月内（2023年</w:t>
            </w:r>
            <w:r>
              <w:rPr>
                <w:rFonts w:hint="eastAsia"/>
                <w:szCs w:val="22"/>
                <w:highlight w:val="none"/>
                <w:lang w:val="en-US" w:eastAsia="zh-CN" w:bidi="ar"/>
              </w:rPr>
              <w:t>3</w:t>
            </w:r>
            <w:r>
              <w:rPr>
                <w:rFonts w:hint="eastAsia"/>
                <w:szCs w:val="22"/>
                <w:highlight w:val="none"/>
                <w:lang w:bidi="ar"/>
              </w:rPr>
              <w:t>月</w:t>
            </w:r>
            <w:r>
              <w:rPr>
                <w:szCs w:val="22"/>
                <w:highlight w:val="none"/>
                <w:lang w:bidi="ar"/>
              </w:rPr>
              <w:t>、2023年</w:t>
            </w:r>
            <w:r>
              <w:rPr>
                <w:rFonts w:hint="eastAsia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szCs w:val="22"/>
                <w:highlight w:val="none"/>
                <w:lang w:bidi="ar"/>
              </w:rPr>
              <w:t>月、2023年</w:t>
            </w:r>
            <w:r>
              <w:rPr>
                <w:rFonts w:hint="eastAsia"/>
                <w:szCs w:val="22"/>
                <w:highlight w:val="none"/>
                <w:lang w:val="en-US" w:eastAsia="zh-CN" w:bidi="ar"/>
              </w:rPr>
              <w:t>5</w:t>
            </w:r>
            <w:r>
              <w:rPr>
                <w:szCs w:val="22"/>
                <w:highlight w:val="none"/>
                <w:lang w:bidi="ar"/>
              </w:rPr>
              <w:t>月）的单位账户流水证明，每月月末账户余额平均值不少于</w:t>
            </w:r>
            <w:r>
              <w:rPr>
                <w:rFonts w:hint="eastAsia"/>
                <w:szCs w:val="22"/>
                <w:highlight w:val="none"/>
                <w:lang w:val="en-US" w:eastAsia="zh-CN" w:bidi="ar"/>
              </w:rPr>
              <w:t>100</w:t>
            </w:r>
            <w:r>
              <w:rPr>
                <w:rFonts w:hint="eastAsia"/>
                <w:szCs w:val="22"/>
                <w:highlight w:val="none"/>
                <w:lang w:bidi="ar"/>
              </w:rPr>
              <w:t>万</w:t>
            </w:r>
            <w:r>
              <w:rPr>
                <w:szCs w:val="22"/>
                <w:highlight w:val="none"/>
                <w:lang w:bidi="ar"/>
              </w:rPr>
              <w:t>元。</w:t>
            </w:r>
          </w:p>
          <w:p>
            <w:pPr>
              <w:pStyle w:val="8"/>
              <w:spacing w:after="0" w:line="360" w:lineRule="auto"/>
              <w:ind w:left="0" w:leftChars="0" w:firstLine="0" w:firstLineChars="0"/>
              <w:rPr>
                <w:highlight w:val="none"/>
              </w:rPr>
            </w:pPr>
            <w:r>
              <w:rPr>
                <w:szCs w:val="22"/>
                <w:highlight w:val="none"/>
                <w:lang w:bidi="ar"/>
              </w:rPr>
              <w:t>上述两种方式满足其中一种即可。</w:t>
            </w:r>
          </w:p>
        </w:tc>
      </w:tr>
    </w:tbl>
    <w:p>
      <w:pPr>
        <w:pStyle w:val="4"/>
        <w:spacing w:after="0" w:line="360" w:lineRule="auto"/>
        <w:ind w:left="660" w:leftChars="100" w:hanging="420" w:hangingChars="200"/>
        <w:rPr>
          <w:rFonts w:eastAsia="黑体"/>
          <w:sz w:val="21"/>
          <w:szCs w:val="24"/>
          <w:highlight w:val="none"/>
        </w:rPr>
      </w:pPr>
      <w:r>
        <w:rPr>
          <w:rFonts w:eastAsia="黑体"/>
          <w:sz w:val="21"/>
          <w:szCs w:val="24"/>
          <w:highlight w:val="none"/>
        </w:rPr>
        <w:t>注：</w:t>
      </w:r>
      <w:r>
        <w:rPr>
          <w:rFonts w:hint="eastAsia" w:eastAsia="黑体"/>
          <w:sz w:val="21"/>
          <w:szCs w:val="24"/>
          <w:highlight w:val="none"/>
        </w:rPr>
        <w:t>1.采用第一种方式</w:t>
      </w:r>
      <w:r>
        <w:rPr>
          <w:rFonts w:eastAsia="黑体"/>
          <w:sz w:val="21"/>
          <w:szCs w:val="24"/>
          <w:highlight w:val="none"/>
        </w:rPr>
        <w:t>应附经会计师事务所或审计机构审计的财务会计报表，包括资产负债表、现金流量表、利润表的复印件</w:t>
      </w:r>
      <w:r>
        <w:rPr>
          <w:rFonts w:hint="eastAsia" w:eastAsia="黑体"/>
          <w:sz w:val="21"/>
          <w:szCs w:val="24"/>
          <w:highlight w:val="none"/>
        </w:rPr>
        <w:t>；公司成立时间不足三年的提供自公司成立以来的会计报表。若最近年度会计报表未出，则近三年时间往前推算一年。</w:t>
      </w:r>
    </w:p>
    <w:p>
      <w:pPr>
        <w:pStyle w:val="4"/>
        <w:spacing w:after="0" w:line="360" w:lineRule="auto"/>
        <w:ind w:left="660" w:leftChars="100" w:hanging="420" w:hangingChars="200"/>
        <w:rPr>
          <w:rFonts w:eastAsia="黑体"/>
          <w:sz w:val="21"/>
          <w:szCs w:val="24"/>
          <w:highlight w:val="none"/>
        </w:rPr>
      </w:pPr>
      <w:r>
        <w:rPr>
          <w:rFonts w:hint="eastAsia" w:eastAsia="黑体"/>
          <w:sz w:val="21"/>
          <w:szCs w:val="24"/>
          <w:highlight w:val="none"/>
        </w:rPr>
        <w:t xml:space="preserve">    2.采用第二种方式应附银行出具</w:t>
      </w:r>
      <w:r>
        <w:rPr>
          <w:rFonts w:hint="eastAsia" w:eastAsia="黑体"/>
          <w:b/>
          <w:bCs/>
          <w:sz w:val="21"/>
          <w:szCs w:val="24"/>
          <w:highlight w:val="none"/>
        </w:rPr>
        <w:t>（须有银行盖章）</w:t>
      </w:r>
      <w:r>
        <w:rPr>
          <w:rFonts w:hint="eastAsia" w:eastAsia="黑体"/>
          <w:sz w:val="21"/>
          <w:szCs w:val="24"/>
          <w:highlight w:val="none"/>
        </w:rPr>
        <w:t>申请日前3个月内的单位账户流水证明。</w:t>
      </w:r>
    </w:p>
    <w:p>
      <w:pPr>
        <w:pStyle w:val="4"/>
        <w:spacing w:after="0" w:line="360" w:lineRule="auto"/>
        <w:ind w:left="660" w:leftChars="100" w:hanging="420" w:hangingChars="200"/>
        <w:rPr>
          <w:rFonts w:eastAsia="黑体"/>
          <w:sz w:val="21"/>
          <w:szCs w:val="24"/>
          <w:highlight w:val="none"/>
        </w:rPr>
      </w:pPr>
      <w:r>
        <w:rPr>
          <w:rFonts w:hint="eastAsia" w:eastAsia="黑体"/>
          <w:sz w:val="21"/>
          <w:szCs w:val="24"/>
          <w:highlight w:val="none"/>
        </w:rPr>
        <w:t xml:space="preserve">  </w:t>
      </w:r>
    </w:p>
    <w:p>
      <w:pPr>
        <w:snapToGrid w:val="0"/>
        <w:spacing w:line="360" w:lineRule="auto"/>
        <w:rPr>
          <w:rFonts w:eastAsia="黑体"/>
          <w:highlight w:val="none"/>
        </w:rPr>
      </w:pPr>
    </w:p>
    <w:p>
      <w:pPr>
        <w:snapToGrid w:val="0"/>
        <w:spacing w:line="360" w:lineRule="auto"/>
        <w:rPr>
          <w:rFonts w:eastAsia="黑体"/>
          <w:highlight w:val="none"/>
        </w:rPr>
      </w:pPr>
    </w:p>
    <w:p>
      <w:pPr>
        <w:snapToGrid w:val="0"/>
        <w:spacing w:line="360" w:lineRule="auto"/>
        <w:jc w:val="center"/>
        <w:rPr>
          <w:rFonts w:eastAsia="黑体"/>
          <w:highlight w:val="none"/>
        </w:rPr>
      </w:pPr>
      <w:r>
        <w:rPr>
          <w:rFonts w:eastAsia="黑体"/>
          <w:highlight w:val="none"/>
        </w:rPr>
        <w:br w:type="page"/>
      </w:r>
      <w:r>
        <w:rPr>
          <w:rFonts w:eastAsia="黑体"/>
          <w:highlight w:val="none"/>
        </w:rPr>
        <w:t>附录3  资格</w:t>
      </w:r>
      <w:r>
        <w:rPr>
          <w:rFonts w:hint="eastAsia" w:eastAsia="黑体"/>
          <w:highlight w:val="none"/>
        </w:rPr>
        <w:t>审查</w:t>
      </w:r>
      <w:r>
        <w:rPr>
          <w:rFonts w:eastAsia="黑体"/>
          <w:highlight w:val="none"/>
        </w:rPr>
        <w:t>条件(业绩最低要求)</w:t>
      </w:r>
    </w:p>
    <w:p>
      <w:pPr>
        <w:snapToGrid w:val="0"/>
        <w:spacing w:line="360" w:lineRule="auto"/>
        <w:jc w:val="center"/>
        <w:rPr>
          <w:rFonts w:eastAsia="黑体"/>
          <w:highlight w:val="none"/>
        </w:rPr>
      </w:pPr>
    </w:p>
    <w:tbl>
      <w:tblPr>
        <w:tblStyle w:val="9"/>
        <w:tblW w:w="8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7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1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标段</w:t>
            </w:r>
          </w:p>
        </w:tc>
        <w:tc>
          <w:tcPr>
            <w:tcW w:w="7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141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CG-1包</w:t>
            </w:r>
          </w:p>
        </w:tc>
        <w:tc>
          <w:tcPr>
            <w:tcW w:w="7276" w:type="dxa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/>
                <w:sz w:val="24"/>
                <w:szCs w:val="24"/>
                <w:highlight w:val="none"/>
                <w:lang w:val="en-US"/>
              </w:rPr>
            </w:pPr>
            <w:bookmarkStart w:id="2" w:name="_GoBack"/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近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 年累计销售与拟供本项目的设备同品牌、同规格的设备数量分别不少于</w:t>
            </w:r>
            <w:r>
              <w:rPr>
                <w:rFonts w:hint="eastAsia" w:cs="Times New Roman"/>
                <w:color w:val="auto"/>
                <w:szCs w:val="21"/>
                <w:highlight w:val="none"/>
                <w:lang w:val="en-US" w:eastAsia="zh-CN"/>
              </w:rPr>
              <w:t>遴选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公告附件2中规定的各设备业绩要求最低数量。</w:t>
            </w:r>
            <w:bookmarkEnd w:id="2"/>
          </w:p>
        </w:tc>
      </w:tr>
    </w:tbl>
    <w:p>
      <w:pPr>
        <w:pStyle w:val="11"/>
        <w:spacing w:line="360" w:lineRule="auto"/>
        <w:rPr>
          <w:rFonts w:eastAsia="黑体"/>
          <w:kern w:val="0"/>
          <w:highlight w:val="none"/>
        </w:rPr>
      </w:pPr>
    </w:p>
    <w:p>
      <w:pPr>
        <w:pStyle w:val="11"/>
        <w:spacing w:line="360" w:lineRule="auto"/>
        <w:rPr>
          <w:rFonts w:eastAsia="黑体"/>
          <w:kern w:val="0"/>
          <w:highlight w:val="none"/>
        </w:rPr>
      </w:pPr>
      <w:r>
        <w:rPr>
          <w:rFonts w:eastAsia="黑体"/>
          <w:kern w:val="0"/>
          <w:highlight w:val="none"/>
        </w:rPr>
        <w:t>注：申请人应填写近3年来承担的类似项目业绩，并</w:t>
      </w:r>
      <w:r>
        <w:rPr>
          <w:rFonts w:hint="eastAsia" w:eastAsia="黑体"/>
          <w:kern w:val="0"/>
          <w:highlight w:val="none"/>
          <w:lang w:val="en-US" w:eastAsia="zh-CN"/>
        </w:rPr>
        <w:t>必须</w:t>
      </w:r>
      <w:r>
        <w:rPr>
          <w:rFonts w:eastAsia="黑体"/>
          <w:kern w:val="0"/>
          <w:highlight w:val="none"/>
        </w:rPr>
        <w:t>提供</w:t>
      </w:r>
      <w:r>
        <w:rPr>
          <w:rFonts w:hint="eastAsia" w:eastAsia="黑体"/>
          <w:kern w:val="0"/>
          <w:highlight w:val="none"/>
        </w:rPr>
        <w:t>相关</w:t>
      </w:r>
      <w:r>
        <w:rPr>
          <w:rFonts w:hint="eastAsia" w:eastAsia="黑体"/>
          <w:kern w:val="0"/>
          <w:highlight w:val="none"/>
          <w:lang w:val="en-US" w:eastAsia="zh-CN"/>
        </w:rPr>
        <w:t>销售发票</w:t>
      </w:r>
      <w:r>
        <w:rPr>
          <w:rFonts w:hint="eastAsia" w:eastAsia="黑体"/>
          <w:kern w:val="0"/>
          <w:highlight w:val="none"/>
        </w:rPr>
        <w:t>证明资料，证明其能满足业绩最低要求。</w:t>
      </w:r>
    </w:p>
    <w:p>
      <w:pPr>
        <w:pStyle w:val="11"/>
        <w:spacing w:line="360" w:lineRule="auto"/>
        <w:rPr>
          <w:rFonts w:eastAsia="黑体"/>
          <w:kern w:val="0"/>
          <w:highlight w:val="none"/>
        </w:rPr>
      </w:pPr>
    </w:p>
    <w:p>
      <w:pPr>
        <w:pStyle w:val="11"/>
        <w:spacing w:line="360" w:lineRule="auto"/>
        <w:rPr>
          <w:rFonts w:eastAsia="黑体"/>
          <w:kern w:val="0"/>
          <w:highlight w:val="none"/>
        </w:rPr>
      </w:pPr>
    </w:p>
    <w:p>
      <w:pPr>
        <w:pStyle w:val="11"/>
        <w:spacing w:line="360" w:lineRule="auto"/>
        <w:rPr>
          <w:rFonts w:eastAsia="黑体"/>
          <w:kern w:val="0"/>
          <w:highlight w:val="none"/>
        </w:rPr>
      </w:pPr>
    </w:p>
    <w:p>
      <w:pPr>
        <w:snapToGrid w:val="0"/>
        <w:spacing w:line="360" w:lineRule="auto"/>
        <w:jc w:val="center"/>
        <w:rPr>
          <w:rFonts w:eastAsia="黑体"/>
          <w:highlight w:val="none"/>
        </w:rPr>
      </w:pPr>
      <w:r>
        <w:rPr>
          <w:szCs w:val="21"/>
          <w:highlight w:val="none"/>
        </w:rPr>
        <w:br w:type="page"/>
      </w:r>
      <w:r>
        <w:rPr>
          <w:rFonts w:eastAsia="黑体"/>
          <w:highlight w:val="none"/>
        </w:rPr>
        <w:t>附录4  资格</w:t>
      </w:r>
      <w:r>
        <w:rPr>
          <w:rFonts w:hint="eastAsia" w:eastAsia="黑体"/>
          <w:highlight w:val="none"/>
        </w:rPr>
        <w:t>审查</w:t>
      </w:r>
      <w:r>
        <w:rPr>
          <w:rFonts w:eastAsia="黑体"/>
          <w:highlight w:val="none"/>
        </w:rPr>
        <w:t>条件(信誉最低要求)</w:t>
      </w:r>
    </w:p>
    <w:p>
      <w:pPr>
        <w:snapToGrid w:val="0"/>
        <w:spacing w:line="360" w:lineRule="auto"/>
        <w:rPr>
          <w:bCs/>
          <w:highlight w:val="none"/>
        </w:rPr>
      </w:pPr>
    </w:p>
    <w:tbl>
      <w:tblPr>
        <w:tblStyle w:val="9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7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5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标段</w:t>
            </w:r>
          </w:p>
        </w:tc>
        <w:tc>
          <w:tcPr>
            <w:tcW w:w="75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信誉要求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5" w:hRule="atLeast"/>
          <w:jc w:val="center"/>
        </w:trPr>
        <w:tc>
          <w:tcPr>
            <w:tcW w:w="1552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CG-1包</w:t>
            </w:r>
          </w:p>
        </w:tc>
        <w:tc>
          <w:tcPr>
            <w:tcW w:w="7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不得存在下列情况（信誉最低要求）：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1.处于被责令停业、接管或清算、破产状态；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2.处于被行业主管部门（如商务部或</w:t>
            </w:r>
            <w:r>
              <w:rPr>
                <w:rFonts w:hint="eastAsia"/>
                <w:sz w:val="24"/>
                <w:szCs w:val="24"/>
                <w:highlight w:val="none"/>
              </w:rPr>
              <w:t>县级以上地方商务</w:t>
            </w:r>
            <w:r>
              <w:rPr>
                <w:sz w:val="24"/>
                <w:szCs w:val="24"/>
                <w:highlight w:val="none"/>
              </w:rPr>
              <w:t>主管部门）作出</w:t>
            </w:r>
            <w:r>
              <w:rPr>
                <w:rFonts w:hint="eastAsia"/>
                <w:sz w:val="24"/>
                <w:szCs w:val="24"/>
                <w:highlight w:val="none"/>
              </w:rPr>
              <w:t>责令改正、警告、罚款</w:t>
            </w:r>
            <w:r>
              <w:rPr>
                <w:sz w:val="24"/>
                <w:szCs w:val="24"/>
                <w:highlight w:val="none"/>
              </w:rPr>
              <w:t>处罚且处于有效期内；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3.存在下列不良状况或不良信用记录：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（1）在国家企业信用信息公示系统（http://www.gsxt.gov.cn/）中被列入严重违法失信企业名单的；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（2）</w:t>
            </w:r>
            <w:r>
              <w:rPr>
                <w:rFonts w:hint="eastAsia"/>
                <w:sz w:val="24"/>
                <w:szCs w:val="24"/>
                <w:highlight w:val="none"/>
              </w:rPr>
              <w:t>在“中国执行信息公开网”（http://zxgk.court.gov.cn/）中被列入失信被执行人名单</w:t>
            </w:r>
            <w:r>
              <w:rPr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（3）申请人或其法定代表人、拟委任的项目负责人在近三年内有行贿犯罪行为的；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（4）其他在“信用中国”网站（http://www.creditchina.gov.cn/）中被列为失信惩戒对象，且按联合惩戒要求禁止参与</w:t>
            </w:r>
            <w:r>
              <w:rPr>
                <w:rFonts w:hint="eastAsia"/>
                <w:sz w:val="24"/>
                <w:szCs w:val="24"/>
                <w:highlight w:val="none"/>
              </w:rPr>
              <w:t>招投标</w:t>
            </w:r>
            <w:r>
              <w:rPr>
                <w:sz w:val="24"/>
                <w:szCs w:val="24"/>
                <w:highlight w:val="none"/>
              </w:rPr>
              <w:t>的；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（5）上一年度被列入</w:t>
            </w:r>
            <w:r>
              <w:rPr>
                <w:rFonts w:hint="eastAsia"/>
                <w:sz w:val="24"/>
                <w:szCs w:val="24"/>
                <w:highlight w:val="none"/>
                <w:lang w:bidi="ar"/>
              </w:rPr>
              <w:t>湖北省高速公路实业开发有限公司考核不合格</w:t>
            </w:r>
            <w:r>
              <w:rPr>
                <w:sz w:val="24"/>
                <w:szCs w:val="24"/>
                <w:highlight w:val="none"/>
                <w:lang w:bidi="ar"/>
              </w:rPr>
              <w:t>的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 w:bidi="ar"/>
              </w:rPr>
              <w:t>供应商</w:t>
            </w:r>
            <w:r>
              <w:rPr>
                <w:sz w:val="24"/>
                <w:szCs w:val="24"/>
                <w:highlight w:val="none"/>
                <w:lang w:bidi="ar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（6）近三年度被列入</w:t>
            </w:r>
            <w:r>
              <w:rPr>
                <w:rFonts w:hint="eastAsia"/>
                <w:sz w:val="24"/>
                <w:szCs w:val="24"/>
                <w:highlight w:val="none"/>
                <w:lang w:bidi="ar"/>
              </w:rPr>
              <w:t>湖北省高速公路实业开发有限公司黑名单</w:t>
            </w:r>
            <w:r>
              <w:rPr>
                <w:sz w:val="24"/>
                <w:szCs w:val="24"/>
                <w:highlight w:val="none"/>
                <w:lang w:bidi="ar"/>
              </w:rPr>
              <w:t>的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 w:bidi="ar"/>
              </w:rPr>
              <w:t>供应商</w:t>
            </w:r>
            <w:r>
              <w:rPr>
                <w:sz w:val="24"/>
                <w:szCs w:val="24"/>
                <w:highlight w:val="none"/>
                <w:lang w:bidi="ar"/>
              </w:rPr>
              <w:t>。</w:t>
            </w:r>
          </w:p>
        </w:tc>
      </w:tr>
    </w:tbl>
    <w:p>
      <w:pPr>
        <w:snapToGrid w:val="0"/>
        <w:spacing w:line="360" w:lineRule="auto"/>
        <w:rPr>
          <w:rFonts w:eastAsia="黑体"/>
          <w:sz w:val="21"/>
          <w:szCs w:val="21"/>
          <w:highlight w:val="none"/>
        </w:rPr>
      </w:pPr>
    </w:p>
    <w:p>
      <w:pPr>
        <w:snapToGrid w:val="0"/>
        <w:spacing w:line="360" w:lineRule="auto"/>
        <w:rPr>
          <w:rFonts w:eastAsia="黑体"/>
          <w:sz w:val="21"/>
          <w:szCs w:val="21"/>
          <w:highlight w:val="none"/>
        </w:rPr>
      </w:pPr>
      <w:r>
        <w:rPr>
          <w:rFonts w:eastAsia="黑体"/>
          <w:sz w:val="21"/>
          <w:szCs w:val="21"/>
          <w:highlight w:val="none"/>
        </w:rPr>
        <w:t>注：</w:t>
      </w:r>
      <w:r>
        <w:rPr>
          <w:rFonts w:hint="eastAsia" w:eastAsia="黑体"/>
          <w:sz w:val="21"/>
          <w:szCs w:val="21"/>
          <w:highlight w:val="none"/>
        </w:rPr>
        <w:t>1.申请</w:t>
      </w:r>
      <w:r>
        <w:rPr>
          <w:rFonts w:eastAsia="黑体"/>
          <w:sz w:val="21"/>
          <w:szCs w:val="21"/>
          <w:highlight w:val="none"/>
        </w:rPr>
        <w:t>人对以上（1）、（2）、（4）信用状况如遴选文件有要求，应附指定网站截图，截图时间为</w:t>
      </w:r>
      <w:r>
        <w:rPr>
          <w:rFonts w:hint="eastAsia" w:eastAsia="黑体"/>
          <w:sz w:val="21"/>
          <w:szCs w:val="21"/>
          <w:highlight w:val="none"/>
        </w:rPr>
        <w:t>遴选</w:t>
      </w:r>
      <w:r>
        <w:rPr>
          <w:rFonts w:eastAsia="黑体"/>
          <w:sz w:val="21"/>
          <w:szCs w:val="21"/>
          <w:highlight w:val="none"/>
        </w:rPr>
        <w:t>公告发布之日至</w:t>
      </w:r>
      <w:r>
        <w:rPr>
          <w:rFonts w:hint="eastAsia" w:eastAsia="黑体"/>
          <w:sz w:val="21"/>
          <w:szCs w:val="21"/>
          <w:highlight w:val="none"/>
        </w:rPr>
        <w:t>申请</w:t>
      </w:r>
      <w:r>
        <w:rPr>
          <w:rFonts w:eastAsia="黑体"/>
          <w:sz w:val="21"/>
          <w:szCs w:val="21"/>
          <w:highlight w:val="none"/>
        </w:rPr>
        <w:t>截止日之间。</w:t>
      </w:r>
    </w:p>
    <w:p>
      <w:pPr>
        <w:pStyle w:val="3"/>
        <w:rPr>
          <w:rFonts w:hint="eastAsia" w:ascii="宋体" w:hAnsi="宋体" w:eastAsia="宋体" w:cs="宋体"/>
          <w:highlight w:val="none"/>
        </w:rPr>
      </w:pPr>
    </w:p>
    <w:p>
      <w:pPr>
        <w:widowControl/>
        <w:spacing w:line="240" w:lineRule="auto"/>
        <w:rPr>
          <w:rFonts w:eastAsia="黑体"/>
          <w:szCs w:val="22"/>
          <w:highlight w:val="none"/>
        </w:rPr>
      </w:pPr>
      <w:r>
        <w:rPr>
          <w:rFonts w:eastAsia="黑体"/>
          <w:highlight w:val="none"/>
        </w:rPr>
        <w:br w:type="page"/>
      </w:r>
      <w:r>
        <w:rPr>
          <w:rFonts w:eastAsia="黑体"/>
          <w:szCs w:val="22"/>
          <w:highlight w:val="none"/>
        </w:rPr>
        <w:t>附件</w:t>
      </w:r>
      <w:r>
        <w:rPr>
          <w:rFonts w:hint="eastAsia" w:eastAsia="黑体"/>
          <w:szCs w:val="22"/>
          <w:highlight w:val="none"/>
        </w:rPr>
        <w:t>2</w:t>
      </w:r>
    </w:p>
    <w:p>
      <w:pPr>
        <w:pStyle w:val="12"/>
        <w:spacing w:line="400" w:lineRule="exact"/>
        <w:ind w:firstLine="0" w:firstLineChars="0"/>
        <w:jc w:val="left"/>
        <w:rPr>
          <w:rFonts w:hint="eastAsia"/>
          <w:kern w:val="0"/>
          <w:szCs w:val="21"/>
          <w:highlight w:val="none"/>
        </w:rPr>
      </w:pPr>
    </w:p>
    <w:p>
      <w:pPr>
        <w:jc w:val="center"/>
        <w:rPr>
          <w:sz w:val="44"/>
          <w:szCs w:val="44"/>
          <w:highlight w:val="none"/>
        </w:rPr>
      </w:pPr>
      <w:r>
        <w:rPr>
          <w:sz w:val="36"/>
          <w:szCs w:val="36"/>
          <w:highlight w:val="none"/>
        </w:rPr>
        <w:t>设备采购清单</w:t>
      </w:r>
    </w:p>
    <w:tbl>
      <w:tblPr>
        <w:tblStyle w:val="9"/>
        <w:tblW w:w="8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114"/>
        <w:gridCol w:w="4524"/>
        <w:gridCol w:w="1096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设备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45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技术参数（技术性能指标）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需求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数量（台）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业绩要求数量</w:t>
            </w:r>
          </w:p>
          <w:p>
            <w:pPr>
              <w:pStyle w:val="13"/>
              <w:spacing w:line="240" w:lineRule="exac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（台）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7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改性沥青加工设备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1、适用类型：适用于SBS改性沥青、SBR改性沥青、PE和树脂改性沥青、超高含量SBS改性沥青、高粘高弹沥青、橡胶沥青、改型胶粉沥青、彩色沥青、隧道用阻燃改性沥青加工；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2、结构形式：整体式结构，可装车结构形式；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3、产能：≥20t/h；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4、加热方式：导热油加热（辅电加热）；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5、控制方式：可手动/自动控制兼容沥青生产控制模式；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6、剪切胶体磨：数量2台，含底座，另配2套机械密封，安装要求磨机既可以同时过两遍磨机可以一台生产一台备用，质量标准不低于浙江尚贵(JMJ20型号）品牌，流量≥20t/h，转速≥29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0r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min；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7、基质沥青泵、生产沥青泵品牌不低于浙江尚贵螺杆泵，带保温，流量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≥30m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³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/h；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预混罐3台，两台作为SBS改性反应釜，一台做橡胶沥青反应釜，容积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≥5m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³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，内、外设无缝加热盘管，双层加热，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高低液位自动设定和报警，自控沥青供油泵，基质沥青过滤器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≥50m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³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/h，口径 DN80，带保温，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换热器换热面积≥120㎡；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9、搅拌器3台，转速≥60r\min，两台用于SBS改性反应釜，一台用于橡胶沥青反应釜；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10、改性剂提升机1台，两个出口，变频调速，≥3t/h，橡胶粉上料螺旋1台，变频调速，≥8t/h；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11、独立气动系统，空压机一台压力0.8Mps；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12、电器电路控制室面积≥9㎡，配置操控台、升降椅子、照明、电器插孔、1.5匹空调，电控柜电器原件不低于西门子、施耐德品牌，手动和自动兼容，操作系统液晶显示屏，自动/手动控制，全电脑实时监控和显示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常用工具一套，使用说明书、电路图两套；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含装机总容量匹配主电缆铠装电缆线100米、配电箱</w:t>
            </w: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注：技术指标带“★”条款为关键技术指标，若有一条不满足则视为无效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申请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3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300T基质沥青罐</w:t>
            </w:r>
          </w:p>
        </w:tc>
        <w:tc>
          <w:tcPr>
            <w:tcW w:w="452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储存介质：基质沥青，加热介质：导热油，操作温度：180℃-220℃，使用温度：≤140℃ --160℃，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容积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≥320m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³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分上下（或左右）两个区独立加热系统，可分区单独加热；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2、罐底≥8mm，罐身第1、2节≥6mm，第3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4节≥5mm，第5、6节≥4mm，罐顶≥4mm，灌顶一周围栏1.2米高，含挡脚板15CM高，直径≥500mm，灌顶及底部1.2米高各一个人孔，岩棉板≥5cm，岩棉板密度≥10kg/㎡罐身保温层，外保护层≥0.6mm彩钢瓦（色号由买方提供）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3、卸油池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＞2m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³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，钢板厚度≥4mm，内设2层加温盘管；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沥青输送泵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4寸螺杆泵，流量≥40m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³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连接管道φ100mm双层保温管道，连接接卸池、储存罐、工作罐，长度约40m，三通阀φ100mm加热保温三通阀三台，用于接卸入储存罐罐、接卸入工作罐、储存罐转工作罐，导热阀门采用 DN-50 高温阀不低于 400℃ ，耐压不低于 1.6MPa；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烟道约10米，φ300mm，厚度≥3mm，用于沥青烟回收，连接至搅拌站冷凝沥青烟处理器；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5、含装机总容量匹配主电缆铠装电缆线100米、配电箱</w:t>
            </w: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注：技术指标带“★”条款为关键技术指标，若有一条不满足则视为无效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申请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7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35T溶剂罐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1、储存介质：橡胶油，加热介质：导热油，操作温度：180℃-220℃，使用温度：≤130℃--160℃ </w:t>
            </w: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、罐体技术要求：容积≥105m³，外部旋转爬梯设置防护围栏，罐底厚度≥6mm，罐身厚度第1，2，3，4节≥5mm，灌顶一周围栏1.2米高，含挡脚板15CM高，人孔2个（距底部1.2米和顶部各一个，直径≥500mm），罐身保温层≥5cm岩棉板，罐体颜色灰白色（色号由买方提供）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3、保温系统骨架100 ㎜*5 ㎜，岩棉 100mm厚，外彩钢板厚度≥5mm，灰白色（色号由买方提供）；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4、加热系统加热管φ57mm*3.5mm无缝钢管，骨架10#槽钢支撑；进出油管φ89mm保温夹套管；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5、温度计0-300°C机械式温度计；机械式浮球液位计，溢流口φ89mm；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6、卸油槽容积≥3.5m³，箱体钢板厚度≥5mm，卸油口≥φ500mm，底部两层φ57mm*3.5mm无缝钢管盘管加热；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7、接卸泵不低于浙江尚贵品牌沥青螺杆泵，流量≥40m³/h；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8、控制电箱一套，主电缆100米。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注：技术指标带“★”条款为关键技术指标，若有一条不满足则视为无效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申请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100T成品沥青发育罐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1、罐体技术要求：容积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≥105m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³，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外部爬梯2m以上设置防护围栏，罐底厚度≥6mm，罐身厚度第1，2，3，4节≥5mm，灌顶一周围栏1.2米高，含挡脚板15CM高，人孔2个（距底部1.2米和顶部各一个，直径≥500mm），罐身保温层≥5cm岩棉板，罐体颜色灰白色（色号由买方提供）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210" w:firstLineChars="1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2、内部装置导热油盘管无缝钢管,底部4层加温盘管，管壁焊接一周加温盘管，设计3进3出，搅拌器电机≥37千瓦，减速机转速90r/min，管壁焊接扰流板，搅拌叶翅4层，搅拌轴底部有十字架支撑；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Style w:val="1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3、导热阀门采用 DN-50 高温阀不低于 400℃ ，耐压不低于 1.6MPa，沥青泵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4寸不低于浙江尚贵螺杆泵，15KW电机，流量≥40m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³/h；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烟道约10米，φ300mm，厚度≥3mm，用于沥青烟回收，连接至搅拌站冷凝沥青烟处理器；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5、含装机总容量主电缆铠装电缆线100米、配电箱</w:t>
            </w: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注：技术指标带“★”条款为关键技术指标，若有一条不满足则视为无效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申请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6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乳化沥青生产设备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1、结构形式为可装车整体式结构；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2、可生产普通 、SBR 、PCR、BCR改性乳化沥青， 一机多用；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3、产能≥8T/H，乳化沥青生产设备设置为双磨机乳化胶体磨  ( 一生产一备用)，品牌不低于浙江尚贵，转速≥3200 r/min；乳化沥青细度&lt;5um；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4、加热方式导热油加热（辅电加热）；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5、可手动/自动控制乳化沥青生产含量控制方式；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6、沥青泵不低于浙江尚贵螺杆泵，功率≥5.5千瓦，变频调速，随时可调节沥青含量，皂液泵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≥8m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³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/h，变频调速；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换热器换热面积≥40㎡，1#皂液罐、2#皂液罐≥1800L， 304不锈钢材质，内设304不锈钢加温盘管，DN25不锈钢管道，加温快速，带液位显示带双直浆搅拌翅；皂液压力表0－1.0MPA ，水泵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≥8m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³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/h，变频调速，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成品泵质量不低于浙江尚贵螺杆泵，功率5.5千瓦；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7、沥青速热罐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≥5m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³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，内设无缝加热盘管，保温采用5CM厚岩棉板，外层采用不锈钢材质，带液位显示；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操作控制柜配比自动控制、可设定，双防级配电箱，内部电器元件不低于德力西、西门子品牌；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含装机总容量匹配主电缆铠装电缆线100米、配电箱</w:t>
            </w: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注：技术指标带“★”条款为关键技术指标，若有一条不满足则视为无效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申请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。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6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20T乳化沥青成品罐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罐体技术要求：容积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≥22m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，外部爬梯2m以上设置防护围栏，罐底厚度≥6mm，罐身厚度第1，2，3，4节≥5mm，灌顶一周围栏1.2米高，含挡脚板15CM高，人孔2个（距底部1.2米和顶部各一个，直径≥500mm），罐身保温层≥5cm岩棉板，罐体颜色灰白色（色号由买方提供）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装车连接管、沥青输送泵口径2寸，电机5.5KW，带保温泵；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搅拌器电机≥5.5千瓦，减速机转速≥45 r/min，搅拌叶翅≥3层，搅拌轴底部有十字架支撑；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底部两层导热油加温盘管；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含装机总容量主电缆铠装电缆线100米、配电箱</w:t>
            </w: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注：技术指标带“★”条款为关键技术指标，若有一条不满足则视为无效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申请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0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50T燃料油存储罐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bidi="ar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罐体技术要求：容积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≥55m³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外部爬梯2m以上设置防护围栏，罐底厚度≥6mm，罐身厚度第1，2，3，4节≥5mm，灌顶一周围栏1.2米高，含挡脚板15CM高，人孔2个（距底部1.2米和顶部各一个，直径≥500mm），罐身保温层≥5cm岩棉板，罐体颜色灰白色（色号由买方提供）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2、内部分区隔离，快速加温区不低于10m³，双层盘管；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3、卸油池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＞2m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³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，钢板厚度≥4mm，内设1层加温盘管；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φ80加热保温三通阀三台，用于接卸入储存罐罐、接卸入工作罐、储存罐转工作罐；重油输送泵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3寸保温泵，电机11KW，流量≥24m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³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/h；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φ80双层保温管道，连接接卸池、储存罐、工作罐，长度约45m；底部2层导热油加温盘管，管壁焊接一周加温盘管；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烟道约10米，φ300mm，厚度≥3mm，用于沥青烟回收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含装机总容量主电缆铠装电缆线100米、配电箱</w:t>
            </w: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firstLine="420" w:firstLineChars="200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注：技术指标带“★”条款为关键技术指标，若有一条不满足则视为无效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申请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。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</w:tbl>
    <w:p>
      <w:pPr>
        <w:spacing w:line="420" w:lineRule="exact"/>
        <w:jc w:val="left"/>
        <w:rPr>
          <w:highlight w:val="none"/>
        </w:rPr>
      </w:pPr>
      <w:r>
        <w:rPr>
          <w:rFonts w:hint="eastAsia"/>
          <w:kern w:val="0"/>
          <w:szCs w:val="21"/>
          <w:highlight w:val="none"/>
        </w:rPr>
        <w:t>注</w:t>
      </w:r>
      <w:r>
        <w:rPr>
          <w:kern w:val="0"/>
          <w:szCs w:val="21"/>
          <w:highlight w:val="none"/>
        </w:rPr>
        <w:t>：</w:t>
      </w:r>
      <w:r>
        <w:rPr>
          <w:rFonts w:hint="eastAsia"/>
          <w:b/>
          <w:bCs/>
          <w:highlight w:val="none"/>
          <w:lang w:eastAsia="zh-CN"/>
        </w:rPr>
        <w:t>申请</w:t>
      </w:r>
      <w:r>
        <w:rPr>
          <w:rFonts w:hint="eastAsia"/>
          <w:b/>
          <w:bCs/>
          <w:highlight w:val="none"/>
        </w:rPr>
        <w:t>人</w:t>
      </w:r>
      <w:r>
        <w:rPr>
          <w:rFonts w:hint="eastAsia"/>
          <w:b/>
          <w:bCs/>
          <w:highlight w:val="none"/>
          <w:u w:val="single"/>
        </w:rPr>
        <w:t>若拟供</w:t>
      </w:r>
      <w:r>
        <w:rPr>
          <w:rFonts w:hint="eastAsia"/>
          <w:b/>
          <w:bCs/>
          <w:highlight w:val="none"/>
          <w:u w:val="single"/>
          <w:lang w:val="en-US" w:eastAsia="zh-CN"/>
        </w:rPr>
        <w:t>设备</w:t>
      </w:r>
      <w:r>
        <w:rPr>
          <w:rFonts w:hint="eastAsia"/>
          <w:b/>
          <w:bCs/>
          <w:highlight w:val="none"/>
          <w:u w:val="single"/>
        </w:rPr>
        <w:t>低于上述带</w:t>
      </w:r>
      <w:r>
        <w:rPr>
          <w:rFonts w:hint="eastAsia" w:ascii="宋体" w:hAnsi="宋体" w:cs="宋体"/>
          <w:sz w:val="21"/>
          <w:szCs w:val="21"/>
          <w:highlight w:val="none"/>
        </w:rPr>
        <w:t>★</w:t>
      </w:r>
      <w:r>
        <w:rPr>
          <w:rFonts w:hint="eastAsia"/>
          <w:b/>
          <w:bCs/>
          <w:highlight w:val="none"/>
          <w:u w:val="single"/>
        </w:rPr>
        <w:t>技术参数（技术性能指标）视为未响应</w:t>
      </w:r>
      <w:r>
        <w:rPr>
          <w:rFonts w:hint="eastAsia"/>
          <w:b/>
          <w:bCs/>
          <w:highlight w:val="none"/>
          <w:u w:val="single"/>
          <w:lang w:val="en-US" w:eastAsia="zh-CN"/>
        </w:rPr>
        <w:t>遴选</w:t>
      </w:r>
      <w:r>
        <w:rPr>
          <w:rFonts w:hint="eastAsia"/>
          <w:b/>
          <w:bCs/>
          <w:highlight w:val="none"/>
          <w:u w:val="single"/>
        </w:rPr>
        <w:t>文件要求，其</w:t>
      </w:r>
      <w:r>
        <w:rPr>
          <w:rFonts w:hint="eastAsia"/>
          <w:b/>
          <w:bCs/>
          <w:highlight w:val="none"/>
          <w:u w:val="single"/>
          <w:lang w:eastAsia="zh-CN"/>
        </w:rPr>
        <w:t>申请</w:t>
      </w:r>
      <w:r>
        <w:rPr>
          <w:rFonts w:hint="eastAsia"/>
          <w:b/>
          <w:bCs/>
          <w:highlight w:val="none"/>
          <w:u w:val="single"/>
        </w:rPr>
        <w:t>应当被否决</w:t>
      </w:r>
      <w:r>
        <w:rPr>
          <w:rFonts w:hint="eastAsia"/>
          <w:highlight w:val="none"/>
        </w:rPr>
        <w:t>。</w:t>
      </w:r>
    </w:p>
    <w:p>
      <w:pPr>
        <w:spacing w:line="240" w:lineRule="auto"/>
        <w:jc w:val="center"/>
        <w:rPr>
          <w:rFonts w:eastAsia="黑体"/>
          <w:highlight w:val="none"/>
        </w:rPr>
      </w:pPr>
    </w:p>
    <w:p>
      <w:pPr>
        <w:rPr>
          <w:highlight w:val="none"/>
        </w:rPr>
      </w:pPr>
      <w:r>
        <w:rPr>
          <w:highlight w:val="none"/>
        </w:rPr>
        <w:br w:type="page"/>
      </w:r>
    </w:p>
    <w:p>
      <w:pPr>
        <w:rPr>
          <w:highlight w:val="none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湖北省高速公路实业开发有限公司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2</w:t>
      </w:r>
      <w:r>
        <w:rPr>
          <w:rFonts w:ascii="宋体" w:hAnsi="宋体" w:cs="宋体"/>
          <w:b/>
          <w:bCs/>
          <w:sz w:val="32"/>
          <w:szCs w:val="32"/>
          <w:highlight w:val="none"/>
        </w:rPr>
        <w:t>023</w:t>
      </w: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eastAsia="zh-CN"/>
        </w:rPr>
        <w:t>吴店养护基地配套设备购置</w:t>
      </w: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遴选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申请单位报名登记表</w:t>
      </w:r>
    </w:p>
    <w:p>
      <w:pPr>
        <w:pStyle w:val="16"/>
        <w:spacing w:line="360" w:lineRule="auto"/>
        <w:rPr>
          <w:rFonts w:hint="default"/>
          <w:color w:val="auto"/>
          <w:highlight w:val="none"/>
        </w:rPr>
      </w:pPr>
    </w:p>
    <w:tbl>
      <w:tblPr>
        <w:tblStyle w:val="9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1483"/>
        <w:gridCol w:w="1584"/>
        <w:gridCol w:w="1798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Cs w:val="22"/>
                <w:highlight w:val="none"/>
              </w:rPr>
              <w:t>申请单位名称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Cs w:val="22"/>
                <w:highlight w:val="none"/>
              </w:rPr>
              <w:t>联系人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Cs w:val="22"/>
                <w:highlight w:val="none"/>
              </w:rPr>
              <w:t>联系方式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Cs w:val="22"/>
                <w:highlight w:val="none"/>
              </w:rPr>
              <w:t>遴选文件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Cs w:val="22"/>
                <w:highlight w:val="none"/>
              </w:rPr>
              <w:t>接收邮箱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Cs w:val="22"/>
                <w:highlight w:val="none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2947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szCs w:val="22"/>
                <w:highlight w:val="none"/>
              </w:rPr>
            </w:pPr>
          </w:p>
        </w:tc>
        <w:tc>
          <w:tcPr>
            <w:tcW w:w="1483" w:type="dxa"/>
          </w:tcPr>
          <w:p>
            <w:pPr>
              <w:pStyle w:val="16"/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Cs w:val="22"/>
                <w:highlight w:val="none"/>
              </w:rPr>
            </w:pPr>
          </w:p>
        </w:tc>
        <w:tc>
          <w:tcPr>
            <w:tcW w:w="1584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szCs w:val="22"/>
                <w:highlight w:val="none"/>
              </w:rPr>
            </w:pPr>
          </w:p>
        </w:tc>
        <w:tc>
          <w:tcPr>
            <w:tcW w:w="179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szCs w:val="22"/>
                <w:highlight w:val="none"/>
              </w:rPr>
            </w:pPr>
          </w:p>
        </w:tc>
        <w:tc>
          <w:tcPr>
            <w:tcW w:w="1152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szCs w:val="22"/>
                <w:highlight w:val="none"/>
              </w:rPr>
            </w:pPr>
          </w:p>
        </w:tc>
      </w:tr>
    </w:tbl>
    <w:p>
      <w:pPr>
        <w:widowControl/>
        <w:spacing w:line="360" w:lineRule="auto"/>
        <w:rPr>
          <w:rFonts w:hint="default" w:eastAsia="黑体"/>
          <w:szCs w:val="22"/>
          <w:highlight w:val="none"/>
          <w:lang w:val="en-US" w:eastAsia="zh-CN"/>
        </w:rPr>
      </w:pPr>
      <w:r>
        <w:rPr>
          <w:rFonts w:hint="eastAsia" w:eastAsia="黑体"/>
          <w:szCs w:val="22"/>
          <w:highlight w:val="none"/>
          <w:lang w:val="en-US" w:eastAsia="zh-CN"/>
        </w:rPr>
        <w:t>注：后附申请人营业执照、授权委托书签字盖章扫描件。</w:t>
      </w:r>
    </w:p>
    <w:p>
      <w:pPr>
        <w:widowControl/>
        <w:spacing w:line="360" w:lineRule="auto"/>
        <w:rPr>
          <w:highlight w:val="none"/>
        </w:rPr>
      </w:pPr>
    </w:p>
    <w:p>
      <w:pPr>
        <w:pStyle w:val="16"/>
        <w:spacing w:line="360" w:lineRule="auto"/>
        <w:jc w:val="right"/>
        <w:rPr>
          <w:rFonts w:hint="default" w:ascii="宋体" w:hAnsi="宋体"/>
          <w:bCs/>
          <w:color w:val="auto"/>
          <w:sz w:val="28"/>
          <w:szCs w:val="28"/>
          <w:highlight w:val="none"/>
          <w:u w:val="single"/>
        </w:rPr>
      </w:pPr>
      <w:r>
        <w:rPr>
          <w:rFonts w:ascii="宋体" w:hAnsi="宋体"/>
          <w:bCs/>
          <w:color w:val="auto"/>
          <w:sz w:val="28"/>
          <w:szCs w:val="28"/>
          <w:highlight w:val="none"/>
        </w:rPr>
        <w:t>申请单位名称：</w:t>
      </w:r>
      <w:r>
        <w:rPr>
          <w:rFonts w:ascii="宋体" w:hAnsi="宋体"/>
          <w:bCs/>
          <w:color w:val="auto"/>
          <w:sz w:val="28"/>
          <w:szCs w:val="28"/>
          <w:highlight w:val="none"/>
          <w:u w:val="single"/>
        </w:rPr>
        <w:t xml:space="preserve">             盖章      </w:t>
      </w:r>
    </w:p>
    <w:p>
      <w:pPr>
        <w:spacing w:line="360" w:lineRule="auto"/>
        <w:jc w:val="right"/>
        <w:rPr>
          <w:rFonts w:ascii="宋体" w:hAnsi="宋体"/>
          <w:bCs/>
          <w:sz w:val="28"/>
          <w:szCs w:val="28"/>
          <w:highlight w:val="none"/>
          <w:u w:val="single"/>
        </w:rPr>
      </w:pPr>
      <w:r>
        <w:rPr>
          <w:rFonts w:ascii="宋体" w:hAnsi="宋体"/>
          <w:bCs/>
          <w:sz w:val="28"/>
          <w:szCs w:val="28"/>
          <w:highlight w:val="none"/>
        </w:rPr>
        <w:t>联   系   人：</w:t>
      </w:r>
      <w:r>
        <w:rPr>
          <w:rFonts w:ascii="宋体" w:hAnsi="宋体"/>
          <w:bCs/>
          <w:sz w:val="28"/>
          <w:szCs w:val="28"/>
          <w:highlight w:val="none"/>
          <w:u w:val="single"/>
        </w:rPr>
        <w:t xml:space="preserve">             签字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 Song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C40D99"/>
    <w:multiLevelType w:val="singleLevel"/>
    <w:tmpl w:val="49C40D99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M2M5MDc0ODdjM2Y0Y2UxN2IzODNmMGRkNTI0NzQifQ=="/>
  </w:docVars>
  <w:rsids>
    <w:rsidRoot w:val="00355D81"/>
    <w:rsid w:val="00355D81"/>
    <w:rsid w:val="0CC0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adjustRightInd/>
      <w:spacing w:before="340" w:after="330" w:line="578" w:lineRule="auto"/>
      <w:textAlignment w:val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  <w:rPr>
      <w:szCs w:val="24"/>
    </w:r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3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font2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5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</w:pPr>
    <w:rPr>
      <w:rFonts w:hint="eastAsia" w:ascii="Fang Song" w:hAnsi="Fang Song" w:eastAsia="Fang Song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4036</Words>
  <Characters>4616</Characters>
  <Lines>0</Lines>
  <Paragraphs>0</Paragraphs>
  <TotalTime>1</TotalTime>
  <ScaleCrop>false</ScaleCrop>
  <LinksUpToDate>false</LinksUpToDate>
  <CharactersWithSpaces>4715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2023-06-30T01:11:00Z</dcterms:created>
  <dc:creator>David</dc:creator>
  <cp:lastModifiedBy>David</cp:lastModifiedBy>
  <dcterms:modified xsi:type="dcterms:W3CDTF">2023-06-30T03:48:48Z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886F395DCA814D9DB13D152E2B74CF35_11</vt:lpwstr>
  </property>
</Properties>
</file>