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附表1</w:t>
      </w:r>
    </w:p>
    <w:p>
      <w:pPr>
        <w:topLinePunct/>
        <w:spacing w:line="400" w:lineRule="atLeast"/>
        <w:ind w:right="31" w:rightChars="15"/>
        <w:jc w:val="center"/>
        <w:rPr>
          <w:sz w:val="24"/>
          <w:szCs w:val="24"/>
        </w:rPr>
      </w:pPr>
      <w:r>
        <w:rPr>
          <w:rFonts w:eastAsia="黑体"/>
          <w:szCs w:val="21"/>
        </w:rPr>
        <w:t>表1  标段划分、资质、业绩要求及主要工程内容表</w:t>
      </w:r>
    </w:p>
    <w:tbl>
      <w:tblPr>
        <w:tblStyle w:val="4"/>
        <w:tblW w:w="13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99"/>
        <w:gridCol w:w="1170"/>
        <w:gridCol w:w="2232"/>
        <w:gridCol w:w="2410"/>
        <w:gridCol w:w="368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tblHeader/>
          <w:jc w:val="center"/>
        </w:trPr>
        <w:tc>
          <w:tcPr>
            <w:tcW w:w="9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标段号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品种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交货地点</w:t>
            </w:r>
          </w:p>
        </w:tc>
        <w:tc>
          <w:tcPr>
            <w:tcW w:w="2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主要材料名称及数量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最低资质要求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最低业绩要求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最低财务要求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2" w:hRule="atLeast"/>
          <w:jc w:val="center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FXW-1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防眩网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  <w:highlight w:val="none"/>
              </w:rPr>
              <w:t>湖北省荆州市江陵北收费站、南平收费站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防眩网，预计数量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18892m。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1.具有</w:t>
            </w:r>
            <w:r>
              <w:rPr>
                <w:rFonts w:ascii="宋体" w:hAnsi="宋体" w:eastAsia="宋体" w:cs="Times New Roman"/>
                <w:kern w:val="0"/>
                <w:szCs w:val="21"/>
                <w:highlight w:val="none"/>
              </w:rPr>
              <w:t>独立法人资格，持有有效企业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法人营业执照；</w:t>
            </w:r>
          </w:p>
          <w:p>
            <w:pPr>
              <w:widowControl/>
              <w:spacing w:line="400" w:lineRule="atLeas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2. 必须是所投材料的制造商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，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具有第三方机构出具的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拟供材料（货物）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检测报告。</w:t>
            </w:r>
          </w:p>
          <w:p>
            <w:pPr>
              <w:widowControl/>
              <w:spacing w:line="400" w:lineRule="atLeas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近三年承担过3个单项合同金额不少于</w:t>
            </w:r>
            <w:r>
              <w:rPr>
                <w:rFonts w:ascii="宋体" w:hAnsi="宋体" w:cs="仿宋"/>
                <w:szCs w:val="21"/>
                <w:highlight w:val="none"/>
              </w:rPr>
              <w:t>2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00万元</w:t>
            </w:r>
            <w:r>
              <w:rPr>
                <w:rFonts w:hint="eastAsia" w:ascii="宋体" w:hAnsi="宋体" w:cs="仿宋"/>
                <w:szCs w:val="21"/>
                <w:highlight w:val="none"/>
                <w:lang w:val="en-US" w:eastAsia="zh-CN"/>
              </w:rPr>
              <w:t>防眩网材料供货</w:t>
            </w:r>
            <w:r>
              <w:rPr>
                <w:rFonts w:hint="eastAsia" w:ascii="宋体" w:hAnsi="宋体" w:cs="仿宋"/>
                <w:szCs w:val="21"/>
                <w:highlight w:val="none"/>
              </w:rPr>
              <w:t>项目（含网片、立柱、斜撑、卡子）材料供应业绩。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近3年每年营业收入不少于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00万元；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由银行出具（须有银行盖章）投标截止日前3个月内的单位账户流水证明，每月月末账户余额的平均值不少于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0万元。</w:t>
            </w:r>
          </w:p>
          <w:p>
            <w:pPr>
              <w:spacing w:line="400" w:lineRule="atLeas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上述两种方式满足其中一种即可，无银行业务章的流水证明按无效证明处理。</w:t>
            </w:r>
          </w:p>
        </w:tc>
      </w:tr>
    </w:tbl>
    <w:p>
      <w:pPr>
        <w:topLinePunct/>
        <w:spacing w:line="400" w:lineRule="exact"/>
        <w:jc w:val="left"/>
        <w:rPr>
          <w:szCs w:val="21"/>
        </w:rPr>
      </w:pPr>
      <w:r>
        <w:rPr>
          <w:szCs w:val="21"/>
        </w:rPr>
        <w:t>注：1、材料具体数量以招标人提供的清单为准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具体规格详见图纸</w:t>
      </w:r>
      <w:r>
        <w:rPr>
          <w:szCs w:val="21"/>
        </w:rPr>
        <w:t>。</w:t>
      </w:r>
    </w:p>
    <w:p>
      <w:pPr>
        <w:topLinePunct/>
        <w:spacing w:line="400" w:lineRule="exact"/>
        <w:jc w:val="left"/>
        <w:rPr>
          <w:szCs w:val="21"/>
        </w:rPr>
      </w:pPr>
      <w:r>
        <w:rPr>
          <w:szCs w:val="21"/>
        </w:rPr>
        <w:t>2、近3年指20</w:t>
      </w:r>
      <w:r>
        <w:rPr>
          <w:rFonts w:hint="eastAsia"/>
          <w:szCs w:val="21"/>
          <w:lang w:val="en-US" w:eastAsia="zh-CN"/>
        </w:rPr>
        <w:t>20</w:t>
      </w:r>
      <w:r>
        <w:rPr>
          <w:szCs w:val="21"/>
        </w:rPr>
        <w:t>年1月1日至投标截止日期，招标文件对“近X年”无特殊说明的均以此类推。</w:t>
      </w:r>
    </w:p>
    <w:p>
      <w:pPr>
        <w:topLinePunct/>
        <w:spacing w:line="400" w:lineRule="exact"/>
        <w:jc w:val="left"/>
        <w:rPr>
          <w:szCs w:val="21"/>
        </w:rPr>
      </w:pPr>
      <w:r>
        <w:rPr>
          <w:szCs w:val="21"/>
        </w:rPr>
        <w:t>3、</w:t>
      </w:r>
      <w:r>
        <w:t>近年完成的类似项目情况表”应附合同协议书</w:t>
      </w:r>
      <w:r>
        <w:rPr>
          <w:rFonts w:hint="eastAsia"/>
          <w:lang w:val="en-US" w:eastAsia="zh-CN"/>
        </w:rPr>
        <w:t>及供货销售发票</w:t>
      </w:r>
      <w:r>
        <w:t>的复印件</w:t>
      </w:r>
      <w:r>
        <w:rPr>
          <w:rFonts w:hint="eastAsia"/>
        </w:rPr>
        <w:t>，如合同协议书不能反映业绩评审指标，还应提供买方出具的其他证明材料</w:t>
      </w:r>
      <w:r>
        <w:t>。</w:t>
      </w:r>
    </w:p>
    <w:p>
      <w:pPr>
        <w:spacing w:line="400" w:lineRule="exact"/>
        <w:ind w:right="1050" w:firstLine="525" w:firstLineChars="250"/>
        <w:jc w:val="right"/>
        <w:sectPr>
          <w:pgSz w:w="15840" w:h="12240" w:orient="landscape"/>
          <w:pgMar w:top="1800" w:right="1440" w:bottom="1800" w:left="1440" w:header="720" w:footer="720" w:gutter="0"/>
          <w:cols w:space="720" w:num="1"/>
          <w:docGrid w:linePitch="286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5E314"/>
    <w:multiLevelType w:val="singleLevel"/>
    <w:tmpl w:val="AE15E31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2M5MDc0ODdjM2Y0Y2UxN2IzODNmMGRkNTI0NzQifQ=="/>
  </w:docVars>
  <w:rsids>
    <w:rsidRoot w:val="19366ED2"/>
    <w:rsid w:val="19366ED2"/>
    <w:rsid w:val="2DAF630B"/>
    <w:rsid w:val="2E405993"/>
    <w:rsid w:val="439F14E5"/>
    <w:rsid w:val="4D6B549E"/>
    <w:rsid w:val="570D335A"/>
    <w:rsid w:val="752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1"/>
    <w:qFormat/>
    <w:uiPriority w:val="99"/>
    <w:pPr>
      <w:spacing w:after="120" w:afterLines="0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463</Characters>
  <Lines>0</Lines>
  <Paragraphs>0</Paragraphs>
  <TotalTime>0</TotalTime>
  <ScaleCrop>false</ScaleCrop>
  <LinksUpToDate>false</LinksUpToDate>
  <CharactersWithSpaces>466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2023-03-09T00:43:00Z</dcterms:created>
  <dc:creator>lenovo</dc:creator>
  <cp:lastModifiedBy>lenovo</cp:lastModifiedBy>
  <dcterms:modified xsi:type="dcterms:W3CDTF">2023-03-09T01:00:36Z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3AE511218800408A8969243054D5B223</vt:lpwstr>
  </property>
</Properties>
</file>