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附表1</w:t>
      </w:r>
    </w:p>
    <w:p>
      <w:pPr>
        <w:widowControl/>
        <w:jc w:val="center"/>
      </w:pPr>
      <w:r>
        <w:rPr>
          <w:rFonts w:eastAsia="黑体"/>
          <w:kern w:val="0"/>
          <w:sz w:val="24"/>
          <w:szCs w:val="24"/>
          <w:lang w:bidi="ar"/>
        </w:rPr>
        <w:t>资格审查强制性资格条件（资质最低要求)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32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最低资质要求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8322" w:type="dxa"/>
            <w:noWrap w:val="0"/>
            <w:vAlign w:val="center"/>
          </w:tcPr>
          <w:p>
            <w:pPr>
              <w:pStyle w:val="4"/>
              <w:widowControl/>
              <w:spacing w:line="360" w:lineRule="auto"/>
              <w:ind w:left="0" w:leftChars="0" w:firstLine="0" w:firstLineChars="0"/>
              <w:jc w:val="left"/>
            </w:pPr>
            <w:r>
              <w:t>同时具备：</w:t>
            </w:r>
          </w:p>
          <w:p>
            <w:pPr>
              <w:pStyle w:val="4"/>
              <w:spacing w:line="360" w:lineRule="auto"/>
              <w:ind w:left="0" w:leftChars="0" w:firstLine="0" w:firstLineChars="0"/>
            </w:pPr>
            <w:r>
              <w:t>1.独立的法人资格，具备有效的营业执照；</w:t>
            </w:r>
          </w:p>
          <w:p>
            <w:pPr>
              <w:pStyle w:val="4"/>
              <w:spacing w:line="360" w:lineRule="auto"/>
              <w:ind w:left="0" w:leftChars="0" w:firstLine="0" w:firstLineChars="0"/>
            </w:pPr>
            <w:r>
              <w:t>2.</w:t>
            </w:r>
            <w:r>
              <w:rPr>
                <w:rFonts w:hint="eastAsia"/>
              </w:rPr>
              <w:t>为所采购设备制造厂商或授权经销商或代理商，如为授权经销商或代理商应提供制造厂商出具的品牌经销商授权书。</w:t>
            </w:r>
          </w:p>
          <w:p>
            <w:pPr>
              <w:pStyle w:val="4"/>
              <w:spacing w:line="360" w:lineRule="auto"/>
              <w:ind w:left="0" w:leftChars="0" w:firstLine="0" w:firstLineChars="0"/>
            </w:pPr>
          </w:p>
        </w:tc>
      </w:tr>
    </w:tbl>
    <w:p>
      <w:pPr>
        <w:widowControl/>
        <w:jc w:val="center"/>
        <w:rPr>
          <w:rFonts w:eastAsia="黑体"/>
          <w:kern w:val="0"/>
          <w:sz w:val="24"/>
          <w:szCs w:val="24"/>
          <w:lang w:bidi="ar"/>
        </w:rPr>
      </w:pPr>
    </w:p>
    <w:p>
      <w:pPr>
        <w:widowControl/>
        <w:jc w:val="center"/>
        <w:rPr>
          <w:rFonts w:eastAsia="黑体"/>
          <w:kern w:val="0"/>
          <w:sz w:val="24"/>
          <w:szCs w:val="24"/>
          <w:lang w:bidi="ar"/>
        </w:rPr>
      </w:pPr>
    </w:p>
    <w:p>
      <w:pPr>
        <w:widowControl/>
        <w:jc w:val="center"/>
        <w:rPr>
          <w:rFonts w:eastAsia="黑体"/>
          <w:kern w:val="0"/>
          <w:sz w:val="24"/>
          <w:szCs w:val="24"/>
          <w:lang w:bidi="ar"/>
        </w:rPr>
      </w:pPr>
    </w:p>
    <w:p>
      <w:pPr>
        <w:widowControl/>
        <w:jc w:val="center"/>
        <w:rPr>
          <w:rFonts w:eastAsia="黑体"/>
          <w:kern w:val="0"/>
          <w:sz w:val="24"/>
          <w:szCs w:val="24"/>
          <w:lang w:bidi="ar"/>
        </w:rPr>
      </w:pPr>
      <w:r>
        <w:rPr>
          <w:rFonts w:eastAsia="黑体"/>
          <w:kern w:val="0"/>
          <w:sz w:val="24"/>
          <w:szCs w:val="24"/>
          <w:lang w:bidi="ar"/>
        </w:rPr>
        <w:br w:type="page"/>
      </w:r>
      <w:r>
        <w:rPr>
          <w:rFonts w:eastAsia="黑体"/>
          <w:kern w:val="0"/>
          <w:sz w:val="24"/>
          <w:szCs w:val="24"/>
          <w:lang w:bidi="ar"/>
        </w:rPr>
        <w:t>资格审查强制性资格条件（业绩最低要求)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109" w:type="dxa"/>
            <w:noWrap w:val="0"/>
            <w:vAlign w:val="center"/>
          </w:tcPr>
          <w:p>
            <w:pPr>
              <w:widowControl/>
              <w:ind w:firstLine="840" w:firstLineChars="40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最低业绩要求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8109" w:type="dxa"/>
            <w:noWrap w:val="0"/>
            <w:vAlign w:val="center"/>
          </w:tcPr>
          <w:p>
            <w:pPr>
              <w:widowControl/>
              <w:jc w:val="left"/>
            </w:pPr>
            <w:r>
              <w:t>近</w:t>
            </w:r>
            <w:r>
              <w:rPr>
                <w:rFonts w:hint="eastAsia"/>
              </w:rPr>
              <w:t>3</w:t>
            </w:r>
            <w:r>
              <w:t>年（</w:t>
            </w:r>
            <w:r>
              <w:rPr>
                <w:rFonts w:hint="eastAsia"/>
              </w:rPr>
              <w:t>2019</w:t>
            </w:r>
            <w:r>
              <w:t>年1月1日至投标截止日）</w:t>
            </w:r>
            <w:r>
              <w:rPr>
                <w:rFonts w:ascii="Calibri" w:hAnsi="Calibri"/>
                <w:lang w:bidi="ar"/>
              </w:rPr>
              <w:t>累计销售与拟供本项目的同品牌、同规格的数量分别不少于招标公告附件2中规定的</w:t>
            </w:r>
            <w:r>
              <w:rPr>
                <w:rFonts w:hint="eastAsia"/>
                <w:lang w:bidi="ar"/>
              </w:rPr>
              <w:t>设备</w:t>
            </w:r>
            <w:r>
              <w:rPr>
                <w:rFonts w:ascii="Calibri" w:hAnsi="Calibri"/>
                <w:lang w:bidi="ar"/>
              </w:rPr>
              <w:t>业绩要求最低数量</w:t>
            </w:r>
            <w:r>
              <w:rPr>
                <w:rFonts w:hint="eastAsia" w:ascii="Calibri" w:hAnsi="Calibri"/>
                <w:lang w:val="en-US" w:eastAsia="zh-CN" w:bidi="ar"/>
              </w:rPr>
              <w:t>.</w:t>
            </w:r>
          </w:p>
        </w:tc>
      </w:tr>
    </w:tbl>
    <w:p>
      <w:pPr>
        <w:widowControl/>
        <w:jc w:val="center"/>
        <w:rPr>
          <w:rFonts w:eastAsia="黑体"/>
          <w:kern w:val="0"/>
          <w:sz w:val="24"/>
          <w:szCs w:val="24"/>
          <w:lang w:bidi="ar"/>
        </w:rPr>
      </w:pPr>
    </w:p>
    <w:p>
      <w:pPr>
        <w:widowControl/>
        <w:spacing w:line="360" w:lineRule="auto"/>
        <w:ind w:left="210" w:hanging="210" w:hangingChars="100"/>
        <w:rPr>
          <w:kern w:val="0"/>
          <w:szCs w:val="21"/>
          <w:lang w:bidi="ar"/>
        </w:rPr>
      </w:pPr>
      <w:r>
        <w:rPr>
          <w:kern w:val="0"/>
          <w:szCs w:val="21"/>
          <w:lang w:bidi="ar"/>
        </w:rPr>
        <w:t>注：1.证明材料要求：销售合同的</w:t>
      </w:r>
      <w:r>
        <w:rPr>
          <w:rFonts w:hint="eastAsia"/>
          <w:kern w:val="0"/>
          <w:szCs w:val="21"/>
          <w:lang w:bidi="ar"/>
        </w:rPr>
        <w:t>复印件</w:t>
      </w:r>
      <w:r>
        <w:rPr>
          <w:kern w:val="0"/>
          <w:szCs w:val="21"/>
          <w:lang w:bidi="ar"/>
        </w:rPr>
        <w:t>(合同内容应能</w:t>
      </w:r>
      <w:r>
        <w:rPr>
          <w:rFonts w:hint="eastAsia"/>
          <w:kern w:val="0"/>
          <w:szCs w:val="21"/>
          <w:lang w:bidi="ar"/>
        </w:rPr>
        <w:t>反映</w:t>
      </w:r>
      <w:r>
        <w:rPr>
          <w:kern w:val="0"/>
          <w:szCs w:val="21"/>
          <w:lang w:bidi="ar"/>
        </w:rPr>
        <w:t>销售数量)</w:t>
      </w:r>
      <w:r>
        <w:rPr>
          <w:rFonts w:hint="eastAsia"/>
          <w:kern w:val="0"/>
          <w:szCs w:val="21"/>
          <w:lang w:bidi="ar"/>
        </w:rPr>
        <w:t>，提供的证明材料应能反映</w:t>
      </w:r>
      <w:r>
        <w:rPr>
          <w:rFonts w:hint="eastAsia"/>
          <w:kern w:val="0"/>
          <w:szCs w:val="21"/>
          <w:lang w:val="en-US" w:eastAsia="zh-CN" w:bidi="ar"/>
        </w:rPr>
        <w:t>设备</w:t>
      </w:r>
      <w:r>
        <w:rPr>
          <w:rFonts w:hint="eastAsia"/>
          <w:kern w:val="0"/>
          <w:szCs w:val="21"/>
          <w:lang w:bidi="ar"/>
        </w:rPr>
        <w:t>品牌、规格等，</w:t>
      </w:r>
      <w:r>
        <w:rPr>
          <w:kern w:val="0"/>
          <w:szCs w:val="21"/>
          <w:lang w:bidi="ar"/>
        </w:rPr>
        <w:t>否则该业绩将不予认可</w:t>
      </w:r>
      <w:r>
        <w:rPr>
          <w:rFonts w:hint="eastAsia"/>
          <w:kern w:val="0"/>
          <w:szCs w:val="21"/>
          <w:lang w:bidi="ar"/>
        </w:rPr>
        <w:t>，认定时间以合同签订时间为准</w:t>
      </w:r>
      <w:r>
        <w:rPr>
          <w:kern w:val="0"/>
          <w:szCs w:val="21"/>
          <w:lang w:bidi="ar"/>
        </w:rPr>
        <w:t xml:space="preserve">。 </w:t>
      </w:r>
    </w:p>
    <w:p>
      <w:pPr>
        <w:widowControl/>
        <w:spacing w:line="360" w:lineRule="auto"/>
        <w:rPr>
          <w:kern w:val="0"/>
          <w:sz w:val="24"/>
          <w:szCs w:val="24"/>
          <w:lang w:bidi="ar"/>
        </w:rPr>
      </w:pPr>
      <w:r>
        <w:rPr>
          <w:kern w:val="0"/>
          <w:szCs w:val="21"/>
          <w:lang w:bidi="ar"/>
        </w:rPr>
        <w:t>2. 投标人为制造厂商的授权经销商</w:t>
      </w:r>
      <w:r>
        <w:rPr>
          <w:rFonts w:hint="eastAsia"/>
          <w:kern w:val="0"/>
          <w:szCs w:val="21"/>
          <w:lang w:bidi="ar"/>
        </w:rPr>
        <w:t>或</w:t>
      </w:r>
      <w:r>
        <w:rPr>
          <w:kern w:val="0"/>
          <w:szCs w:val="21"/>
          <w:lang w:bidi="ar"/>
        </w:rPr>
        <w:t>代理商的，授权的制造厂商提供的销售业绩可予以认定。</w:t>
      </w:r>
    </w:p>
    <w:p>
      <w:pPr>
        <w:widowControl/>
        <w:jc w:val="left"/>
        <w:rPr>
          <w:kern w:val="0"/>
          <w:sz w:val="24"/>
          <w:szCs w:val="24"/>
          <w:lang w:bidi="ar"/>
        </w:rPr>
      </w:pPr>
    </w:p>
    <w:p>
      <w:pPr>
        <w:widowControl/>
        <w:jc w:val="center"/>
      </w:pPr>
      <w:r>
        <w:rPr>
          <w:rFonts w:eastAsia="黑体"/>
          <w:kern w:val="0"/>
          <w:sz w:val="24"/>
          <w:szCs w:val="24"/>
          <w:lang w:bidi="ar"/>
        </w:rPr>
        <w:br w:type="page"/>
      </w:r>
      <w:r>
        <w:rPr>
          <w:rFonts w:eastAsia="黑体"/>
          <w:kern w:val="0"/>
          <w:sz w:val="24"/>
          <w:szCs w:val="24"/>
          <w:lang w:bidi="ar"/>
        </w:rPr>
        <w:t>资格审查强制性资格条件</w:t>
      </w:r>
      <w:r>
        <w:rPr>
          <w:kern w:val="0"/>
          <w:sz w:val="24"/>
          <w:szCs w:val="24"/>
          <w:lang w:bidi="ar"/>
        </w:rPr>
        <w:t>(财务最低要求)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726" w:type="dxa"/>
            <w:noWrap w:val="0"/>
            <w:vAlign w:val="center"/>
          </w:tcPr>
          <w:p>
            <w:pPr>
              <w:widowControl/>
              <w:ind w:firstLine="840" w:firstLineChars="40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最低财务要求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772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第一种方式：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近3年每年的营业收入不少于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/>
                <w:kern w:val="0"/>
                <w:szCs w:val="21"/>
              </w:rPr>
              <w:t>万元。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第二种方式：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由银行出具申请日前3个月内（2022年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/>
                <w:kern w:val="0"/>
                <w:szCs w:val="21"/>
              </w:rPr>
              <w:t>、1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</w:rPr>
              <w:t>月）的单位账户流水证明，3个月月末账户余额的平均值不少于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/>
                <w:kern w:val="0"/>
                <w:szCs w:val="21"/>
              </w:rPr>
              <w:t>万元。</w:t>
            </w:r>
          </w:p>
          <w:p>
            <w:pPr>
              <w:widowControl/>
              <w:spacing w:line="4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上述两种方式满足其中一种即可。</w:t>
            </w:r>
          </w:p>
        </w:tc>
      </w:tr>
    </w:tbl>
    <w:p>
      <w:pPr>
        <w:widowControl/>
        <w:rPr>
          <w:kern w:val="0"/>
          <w:szCs w:val="21"/>
          <w:lang w:bidi="ar"/>
        </w:rPr>
      </w:pPr>
    </w:p>
    <w:p>
      <w:pPr>
        <w:widowControl/>
        <w:rPr>
          <w:kern w:val="0"/>
          <w:szCs w:val="21"/>
          <w:lang w:bidi="ar"/>
        </w:rPr>
      </w:pPr>
      <w:r>
        <w:rPr>
          <w:kern w:val="0"/>
          <w:szCs w:val="21"/>
          <w:lang w:bidi="ar"/>
        </w:rPr>
        <w:t>注：1.采用第一种方式的投标人的成立时间少于上述规定年份的，以成立以来的年平均营业收入认定（提供相应年份的经会计师事务所或审计机构审计的财务会计报表，无相应财务会计报表的不予认可）。</w:t>
      </w:r>
    </w:p>
    <w:p>
      <w:pPr>
        <w:widowControl/>
        <w:ind w:firstLine="210" w:firstLineChars="100"/>
        <w:rPr>
          <w:kern w:val="0"/>
          <w:szCs w:val="21"/>
          <w:lang w:bidi="ar"/>
        </w:rPr>
      </w:pPr>
      <w:r>
        <w:rPr>
          <w:kern w:val="0"/>
          <w:szCs w:val="21"/>
          <w:lang w:bidi="ar"/>
        </w:rPr>
        <w:t>2.采用第二种方式应附银行出具（须银行盖章）申请日前3个月内的单位账户流水证明。</w:t>
      </w:r>
    </w:p>
    <w:p>
      <w:pPr>
        <w:widowControl/>
        <w:ind w:firstLine="210" w:firstLineChars="100"/>
        <w:rPr>
          <w:kern w:val="0"/>
          <w:szCs w:val="21"/>
          <w:lang w:bidi="ar"/>
        </w:rPr>
        <w:sectPr>
          <w:pgSz w:w="11906" w:h="16838" w:orient="landscape"/>
          <w:pgMar w:top="1247" w:right="1134" w:bottom="1134" w:left="1247" w:header="999" w:footer="992" w:gutter="0"/>
          <w:cols w:space="720" w:num="1"/>
          <w:docGrid w:type="lines" w:linePitch="312" w:charSpace="0"/>
        </w:sectPr>
      </w:pPr>
      <w:r>
        <w:rPr>
          <w:kern w:val="0"/>
          <w:szCs w:val="21"/>
          <w:lang w:bidi="ar"/>
        </w:rPr>
        <w:t>3.近3年是指：201</w:t>
      </w:r>
      <w:r>
        <w:rPr>
          <w:rFonts w:hint="eastAsia"/>
          <w:kern w:val="0"/>
          <w:szCs w:val="21"/>
          <w:lang w:bidi="ar"/>
        </w:rPr>
        <w:t>9</w:t>
      </w:r>
      <w:r>
        <w:rPr>
          <w:kern w:val="0"/>
          <w:szCs w:val="21"/>
          <w:lang w:bidi="ar"/>
        </w:rPr>
        <w:t>，20</w:t>
      </w:r>
      <w:r>
        <w:rPr>
          <w:rFonts w:hint="eastAsia"/>
          <w:kern w:val="0"/>
          <w:szCs w:val="21"/>
          <w:lang w:bidi="ar"/>
        </w:rPr>
        <w:t>20</w:t>
      </w:r>
      <w:r>
        <w:rPr>
          <w:kern w:val="0"/>
          <w:szCs w:val="21"/>
          <w:lang w:bidi="ar"/>
        </w:rPr>
        <w:t>，202</w:t>
      </w:r>
      <w:r>
        <w:rPr>
          <w:rFonts w:hint="eastAsia"/>
          <w:kern w:val="0"/>
          <w:szCs w:val="21"/>
          <w:lang w:bidi="ar"/>
        </w:rPr>
        <w:t>1</w:t>
      </w:r>
      <w:r>
        <w:rPr>
          <w:kern w:val="0"/>
          <w:szCs w:val="21"/>
          <w:lang w:bidi="ar"/>
        </w:rPr>
        <w:t>年。</w:t>
      </w:r>
    </w:p>
    <w:p>
      <w:r>
        <w:rPr>
          <w:rFonts w:eastAsia="黑体"/>
          <w:kern w:val="0"/>
          <w:sz w:val="24"/>
          <w:szCs w:val="24"/>
          <w:lang w:bidi="ar"/>
        </w:rPr>
        <w:t>附件2</w:t>
      </w:r>
    </w:p>
    <w:p>
      <w:pPr>
        <w:pStyle w:val="7"/>
        <w:spacing w:line="400" w:lineRule="exact"/>
        <w:ind w:firstLine="0" w:firstLineChars="0"/>
        <w:jc w:val="left"/>
        <w:rPr>
          <w:rFonts w:hint="eastAsia"/>
          <w:kern w:val="0"/>
          <w:szCs w:val="21"/>
        </w:rPr>
      </w:pPr>
    </w:p>
    <w:p>
      <w:pPr>
        <w:jc w:val="center"/>
        <w:rPr>
          <w:sz w:val="44"/>
          <w:szCs w:val="44"/>
        </w:rPr>
      </w:pPr>
      <w:r>
        <w:rPr>
          <w:sz w:val="36"/>
          <w:szCs w:val="36"/>
        </w:rPr>
        <w:t>设备采购清单</w:t>
      </w:r>
    </w:p>
    <w:tbl>
      <w:tblPr>
        <w:tblStyle w:val="5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14"/>
        <w:gridCol w:w="4524"/>
        <w:gridCol w:w="1096"/>
        <w:gridCol w:w="87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货物名称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技术参数</w:t>
            </w:r>
            <w:r>
              <w:rPr>
                <w:rFonts w:hint="eastAsia"/>
                <w:kern w:val="0"/>
                <w:szCs w:val="21"/>
              </w:rPr>
              <w:t>（技术性能指标）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采购数量（台）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业绩要求最低数量(台)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灌缝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开槽设备：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★1、开槽机发动机：四冲程汽油发动机，国际知名品牌，功率≥25HP，双缸风冷，电启动，带有三级空气过滤装置，空气过滤器更换滤芯方便。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★2、开槽深度：电动推杆控制升降，0～30(mm)范围内调整，开槽机应带有裂缝跟踪指示器，可以指示跟踪开出不规则裂缝的槽。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★3、开槽宽度：10～40(mm)范围内调整。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4、开槽机刀头：六片硬质合金刀头。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5、开槽机刀盘转动需采用电磁离合器，开槽时，通过握紧把手开关，发动机带动刀盘转动，进行开槽。不开槽时，松开把手开关，发动机处于怠速状态，节省能耗，延长发动机使用寿命。为保障安全，不接受发动机直接带动刀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6、除尘功能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★6.1、具有除尘功能，风机需采用发动机输出轴直连，传动效率更高，风机风量≥10m³/h，风管通径≥100mm。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★6.2、旋风筒直径≥32cm，收尘箱容积≥10L，收尘箱防尘口采用螺栓连接，便于清理灰尘。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6.3、除尘布袋采用金属支架支撑，并带有支撑底座，除尘布袋直径≥42cm，除尘布袋长度≥59cm。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6.4、风机、旋风筒、收尘箱、除尘布袋设置在开槽机同侧，气流传输管路更加合理，除尘效果更好。风机、旋风筒、收尘箱、除尘布袋及支架采用螺栓固定，便于拆卸维修。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7、安全防护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7.1、汽油油箱采用不锈钢油箱，容积≥20L，油箱放置在开槽机前部。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7.2、开槽机底部防尘采用胶皮和毛刷双层结构，有效防止灰尘和碎石飞溅。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吸尘机技术指标要求：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1、功能：主要用于路面吸尘清理、碎石清理，路面缝隙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的残留物清理，清理路面树叶、纸屑等垃圾杂物，延长道路寿命且利于环保。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★2、发动机：国际知名品牌；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★3、发动机功率≥13马力；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4、有效作业直径≥10M；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★5、积尘桶容量≥100L；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灌缝设备：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1、底盘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★1.1、整体需采用独特的分体平台式结构，施工时可直接将装置平台放置在用户现有的各类工程车上，不施工时，把装置平台从车上卸下后，车辆能进行其他运输作业。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1.2、灌缝机各部件需通过螺栓固定在平台上，便于维修和更换，不接受将灌缝机部件焊接到平台上的。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★1.3、外形尺寸≥2500×1150×1650mm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★2、动力系统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知名品牌发电机，电启动；功率≥5kw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3、热熔釜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3.1、热熔釜导热油加热，多层高保温结构，钢制外壳，保温材料厚度≥50mm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★3.2、容积：≥350L，料仓配有防溅料安全装置。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3.3、搅拌器：立式搅拌器，具有双向搅拌功能。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4、加热系统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4.1、加热方式：通过柴油燃烧器加热导热油间接加热材料，从底部和四壁加热材料。燃油箱：≥60L；导热油箱：≥60L。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★4.2、原装进口燃烧器：≥250,000Btu/h（62750千卡），柴油燃烧器，燃烧室内壁可拆卸，可耐2300℃高温，电脑自动控制。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4.3、熔料时间：≤45分钟，在施工作业的同时，可以随时增添灌缝材料以保证施工作业的连续性。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5、温度控制系统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★5.1、控制系统：配备进口品牌全数字液晶显示控制箱程序控制，可人为设定导热油、密封胶和电加热出胶软管的温度，加热过程可通过液晶显示器读数监控。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5.2、温度控制范围：常温-280℃；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★6、输料系统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6.1、输料软管由软管和灌缝枪两部分组成,全程电加热，温度自动控制，电加热软管≥4.8米，电加热硬质铝合金灌缝枪管≥1.2米；(需提供实物图片)；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6.2、非浸没式外置泵，料泵工作流量≥30L/min，可连续灌注，料泵马达可正反转，施工完毕后输料软管里的灌缝材料可回流到料箱中，不至于冷却后的灌缝料堵塞输料管道。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6.3、出料控制：控制为手柄扳机式，非杆阀式，并且可自动控制料泵系统的启动与关闭。(需提供扳机开关控制的实物图片)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7、喷漆要求：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7.1要求有喷洒除锈的前处理，以保证涂层的附着力及使用寿命。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7.2漆的涂层厚度不小于250um。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注：技术指标带“★”条款为关键技术指标，若有一条不满足则视为无效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绿篱机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绿化修剪机设备要求：专门用于高速公路化修剪设备，用于道路中间隔离带修剪、右侧绿化带修剪、边坡除草修剪、高枝修剪。设备放置于货车车厢中，使用无线遥控操作，可根据不同的工况选择不同的切割装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一、整机机型：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★1.车载分体式结构，固定底架附有整体配重块，增加安全性。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★2.修剪折叠臂：全自动三节折叠臂设计，非伸缩臂，可360度旋转，能满足不同角度的修剪，可以左右切换作业。（提供全自动三节折叠臂操作、旋转、作业视频）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3.安装尺寸≤2700x1700x2200mm（长x宽x高）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★4.修剪作业高度范围：-1000—6600mm（含底盘车高度1米）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5.最大水平修剪距离≥5450mm（从底盘车中心点位置）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★6.修剪水平绿篱作业高度：0-3.5m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★7.作业宽度≥1500mm；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二、发动机：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★1.进口国际知名品牌柴油发动机，三缸水冷，发动机功率≥19.5KW；（提供发动机及发动机铭牌实物照片）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三、液压系统：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★1.全液压系统控制马达、刀头、油缸、整机水平旋转等，液压系统为进口部件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★2.刀头由三个进口液压马达独立控制,非电动马达控制刀头，更加安全；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四、无线遥控系统：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★1.远程无线遥控器，可实现最远50米距离的无线遥控控制，可以实现对发动机的启停、工作臂变幅、工作面调整、马达启停等控制，安全、灵活。（提供无线遥控器操作视频）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★2.遥控器具有记忆功能，能够记录故障代码并能导出记录，方便维修。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五、切割刀具：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1.圆盘锯，两组一套，修剪乔木，修剪直径8CM。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2.直刀，三组一套，修剪绿篱、中分带等，修剪直径4CM。</w:t>
            </w:r>
          </w:p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★3.刀盘可实现360度旋转，可以实现所有角度的修剪。</w:t>
            </w:r>
          </w:p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★六、切割时遇到障碍物具有避障功能  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七、车载式主动智能防撞预警系统：                                                                     ★1.配有高精度雷达及声光警示系统，雷达检测距离≥250m，安装在绿化修剪机上（提供实物安装图）。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2.具有北斗+GPS定位功能。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 配备长条高频爆闪警示灯，闪烁高亮光，用于提醒警示来往车辆行人，爆闪警示灯具有多模式连续爆闪功能，警示灯颜色可选。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.高分贝声波警报器，可发出高分贝声波，有效提醒警示来往车辆行人，警报声音大小可调，正向面对智能预警主机1米处的声压级可达125 dB。</w:t>
            </w:r>
          </w:p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.震动手环，无线电传输，传输距离≥300m                                                                  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.具备手机小程序功能，可手机查看现场视频                                                                        注：技术指标带“★”条款为关键技术指标，若有一条不满足则视为无效投标。</w:t>
            </w:r>
          </w:p>
          <w:p>
            <w:pPr>
              <w:spacing w:line="4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line="420" w:lineRule="exact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注</w:t>
      </w:r>
      <w:r>
        <w:rPr>
          <w:kern w:val="0"/>
          <w:szCs w:val="21"/>
        </w:rPr>
        <w:t>：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提供完整的操作手册、液压图（如有）、电路图（如有）等相关技术文件。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根据招标人要求，为上述供货设备喷涂统一颜色和标识。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</w:pPr>
      <w:r>
        <w:rPr>
          <w:rFonts w:hint="eastAsia"/>
          <w:b/>
          <w:bCs/>
        </w:rPr>
        <w:t>投标人应按上表技术参数（技术性能指标）实际情况填写投标文件格式：六-技术参数偏离表，</w:t>
      </w:r>
      <w:r>
        <w:rPr>
          <w:rFonts w:hint="eastAsia"/>
          <w:b/>
          <w:bCs/>
          <w:u w:val="single"/>
        </w:rPr>
        <w:t>若拟供</w:t>
      </w:r>
      <w:r>
        <w:rPr>
          <w:rFonts w:hint="eastAsia"/>
          <w:b/>
          <w:bCs/>
          <w:u w:val="single"/>
          <w:lang w:val="en-US" w:eastAsia="zh-CN"/>
        </w:rPr>
        <w:t>设备</w:t>
      </w:r>
      <w:r>
        <w:rPr>
          <w:rFonts w:hint="eastAsia"/>
          <w:b/>
          <w:bCs/>
          <w:u w:val="single"/>
        </w:rPr>
        <w:t>低于上述带*技术参数（技术性能指标）视为未响应招标文件要求，其投标应当被否决</w:t>
      </w:r>
      <w:r>
        <w:rPr>
          <w:rFonts w:hint="eastAsia"/>
        </w:rPr>
        <w:t>。</w:t>
      </w:r>
    </w:p>
    <w:p>
      <w:pPr>
        <w:pStyle w:val="7"/>
        <w:widowControl w:val="0"/>
        <w:numPr>
          <w:ilvl w:val="0"/>
          <w:numId w:val="0"/>
        </w:numPr>
        <w:spacing w:line="400" w:lineRule="exact"/>
        <w:jc w:val="left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7B102"/>
    <w:multiLevelType w:val="singleLevel"/>
    <w:tmpl w:val="ACE7B1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OTZiZGU4YjZhMjFmOTMwZmFkYzkwZTUwNDYzMWQifQ=="/>
  </w:docVars>
  <w:rsids>
    <w:rsidRoot w:val="6CEA6ABD"/>
    <w:rsid w:val="00680F7E"/>
    <w:rsid w:val="016E0D36"/>
    <w:rsid w:val="019F4343"/>
    <w:rsid w:val="01B1001C"/>
    <w:rsid w:val="023A04AC"/>
    <w:rsid w:val="028E33EF"/>
    <w:rsid w:val="03AD4794"/>
    <w:rsid w:val="03C044FB"/>
    <w:rsid w:val="04527600"/>
    <w:rsid w:val="055A54BC"/>
    <w:rsid w:val="05E94481"/>
    <w:rsid w:val="06316E66"/>
    <w:rsid w:val="064931EA"/>
    <w:rsid w:val="065203FE"/>
    <w:rsid w:val="06716825"/>
    <w:rsid w:val="0732122F"/>
    <w:rsid w:val="08085FDF"/>
    <w:rsid w:val="091A600F"/>
    <w:rsid w:val="09C800AE"/>
    <w:rsid w:val="0A1F529F"/>
    <w:rsid w:val="0A3D5C0C"/>
    <w:rsid w:val="0AB210B8"/>
    <w:rsid w:val="0AB720DF"/>
    <w:rsid w:val="0B941BE1"/>
    <w:rsid w:val="0BDF6587"/>
    <w:rsid w:val="0CEA1623"/>
    <w:rsid w:val="0D493D9B"/>
    <w:rsid w:val="0DDE79D1"/>
    <w:rsid w:val="0EA3456C"/>
    <w:rsid w:val="0EF24CA4"/>
    <w:rsid w:val="0FBA41A7"/>
    <w:rsid w:val="1002522D"/>
    <w:rsid w:val="113D7D8C"/>
    <w:rsid w:val="118B5088"/>
    <w:rsid w:val="11BB0D49"/>
    <w:rsid w:val="11F66C0B"/>
    <w:rsid w:val="12392DA6"/>
    <w:rsid w:val="13692CC5"/>
    <w:rsid w:val="142F6479"/>
    <w:rsid w:val="14497212"/>
    <w:rsid w:val="147B6397"/>
    <w:rsid w:val="15500E63"/>
    <w:rsid w:val="1571057B"/>
    <w:rsid w:val="1AFD0922"/>
    <w:rsid w:val="1BCF65F9"/>
    <w:rsid w:val="1C116186"/>
    <w:rsid w:val="1C6074F6"/>
    <w:rsid w:val="1D36688C"/>
    <w:rsid w:val="1D563D0F"/>
    <w:rsid w:val="21EF6AEE"/>
    <w:rsid w:val="227511D1"/>
    <w:rsid w:val="22B11305"/>
    <w:rsid w:val="231F56FD"/>
    <w:rsid w:val="232D579B"/>
    <w:rsid w:val="23945464"/>
    <w:rsid w:val="242D1D24"/>
    <w:rsid w:val="24300380"/>
    <w:rsid w:val="24CC3CF5"/>
    <w:rsid w:val="25693FD8"/>
    <w:rsid w:val="25746454"/>
    <w:rsid w:val="26AF3644"/>
    <w:rsid w:val="2709001F"/>
    <w:rsid w:val="275728A8"/>
    <w:rsid w:val="282E4FC0"/>
    <w:rsid w:val="293846C7"/>
    <w:rsid w:val="297D14BF"/>
    <w:rsid w:val="2A0F3F4F"/>
    <w:rsid w:val="2ABB2483"/>
    <w:rsid w:val="2B174880"/>
    <w:rsid w:val="2B350C91"/>
    <w:rsid w:val="2B5C7AAD"/>
    <w:rsid w:val="2BD86752"/>
    <w:rsid w:val="2C45787C"/>
    <w:rsid w:val="2C9910F7"/>
    <w:rsid w:val="2D575C72"/>
    <w:rsid w:val="2D5F55BA"/>
    <w:rsid w:val="2DF361C2"/>
    <w:rsid w:val="2E1345C7"/>
    <w:rsid w:val="2E8F3E8F"/>
    <w:rsid w:val="2EA73731"/>
    <w:rsid w:val="2F644E27"/>
    <w:rsid w:val="2FA230D1"/>
    <w:rsid w:val="2FD4115D"/>
    <w:rsid w:val="2FF769A0"/>
    <w:rsid w:val="300E3352"/>
    <w:rsid w:val="303D0B8D"/>
    <w:rsid w:val="307478D1"/>
    <w:rsid w:val="30B45C13"/>
    <w:rsid w:val="31D02B0C"/>
    <w:rsid w:val="327F3583"/>
    <w:rsid w:val="33AA1CFB"/>
    <w:rsid w:val="34D444C5"/>
    <w:rsid w:val="360E24D7"/>
    <w:rsid w:val="364454E7"/>
    <w:rsid w:val="38590945"/>
    <w:rsid w:val="386D22C0"/>
    <w:rsid w:val="3A085026"/>
    <w:rsid w:val="3AC727C9"/>
    <w:rsid w:val="3B007B1B"/>
    <w:rsid w:val="3C712511"/>
    <w:rsid w:val="3E5B34E0"/>
    <w:rsid w:val="3E9F6D27"/>
    <w:rsid w:val="3F0365B7"/>
    <w:rsid w:val="3F880ACB"/>
    <w:rsid w:val="3F8A43A3"/>
    <w:rsid w:val="40205FAA"/>
    <w:rsid w:val="403D19C7"/>
    <w:rsid w:val="412F136C"/>
    <w:rsid w:val="417F6533"/>
    <w:rsid w:val="4183161D"/>
    <w:rsid w:val="41ED7725"/>
    <w:rsid w:val="431945AB"/>
    <w:rsid w:val="432E6DF8"/>
    <w:rsid w:val="433B21C4"/>
    <w:rsid w:val="44840678"/>
    <w:rsid w:val="449F6F44"/>
    <w:rsid w:val="44DE6FCE"/>
    <w:rsid w:val="45045439"/>
    <w:rsid w:val="450A43EF"/>
    <w:rsid w:val="455D4B05"/>
    <w:rsid w:val="45612290"/>
    <w:rsid w:val="45D93F36"/>
    <w:rsid w:val="45DF55B0"/>
    <w:rsid w:val="45FF17C2"/>
    <w:rsid w:val="467E6DEA"/>
    <w:rsid w:val="46B33F14"/>
    <w:rsid w:val="46DB59BF"/>
    <w:rsid w:val="472C31DA"/>
    <w:rsid w:val="4745665A"/>
    <w:rsid w:val="475C4CF5"/>
    <w:rsid w:val="478C5E47"/>
    <w:rsid w:val="4A8401C6"/>
    <w:rsid w:val="4ABE739C"/>
    <w:rsid w:val="4B8E4857"/>
    <w:rsid w:val="4BD934C3"/>
    <w:rsid w:val="4BE57D48"/>
    <w:rsid w:val="4CF57371"/>
    <w:rsid w:val="4D0E1D25"/>
    <w:rsid w:val="4D6C4DA9"/>
    <w:rsid w:val="4D717456"/>
    <w:rsid w:val="4DA95E73"/>
    <w:rsid w:val="4DD73A89"/>
    <w:rsid w:val="4DF342FF"/>
    <w:rsid w:val="4DFE55AF"/>
    <w:rsid w:val="4E195E2E"/>
    <w:rsid w:val="4E2B74AC"/>
    <w:rsid w:val="4E94756C"/>
    <w:rsid w:val="4F652998"/>
    <w:rsid w:val="4F7F6A80"/>
    <w:rsid w:val="4F8B3FFA"/>
    <w:rsid w:val="4F9169DB"/>
    <w:rsid w:val="51995AFA"/>
    <w:rsid w:val="51C40581"/>
    <w:rsid w:val="52CB2E37"/>
    <w:rsid w:val="531078E5"/>
    <w:rsid w:val="538D1908"/>
    <w:rsid w:val="54410EB0"/>
    <w:rsid w:val="54CD38B3"/>
    <w:rsid w:val="54D875FF"/>
    <w:rsid w:val="55514497"/>
    <w:rsid w:val="55C6582D"/>
    <w:rsid w:val="56D93A32"/>
    <w:rsid w:val="574035D9"/>
    <w:rsid w:val="59760137"/>
    <w:rsid w:val="59BA666A"/>
    <w:rsid w:val="59D76378"/>
    <w:rsid w:val="5AE426FB"/>
    <w:rsid w:val="5BE72319"/>
    <w:rsid w:val="5C7F5BBB"/>
    <w:rsid w:val="5CB255C0"/>
    <w:rsid w:val="5D2D4585"/>
    <w:rsid w:val="5D5B7A13"/>
    <w:rsid w:val="5D65108A"/>
    <w:rsid w:val="5D6D3D6E"/>
    <w:rsid w:val="5D821D7A"/>
    <w:rsid w:val="5DA05FFD"/>
    <w:rsid w:val="5EBF6AC2"/>
    <w:rsid w:val="5EEF53E9"/>
    <w:rsid w:val="5FA46038"/>
    <w:rsid w:val="6038411B"/>
    <w:rsid w:val="60DF4B1E"/>
    <w:rsid w:val="611A669B"/>
    <w:rsid w:val="61D97E42"/>
    <w:rsid w:val="623F7DA8"/>
    <w:rsid w:val="6279229A"/>
    <w:rsid w:val="62E578BB"/>
    <w:rsid w:val="62FD2BCD"/>
    <w:rsid w:val="634D13FB"/>
    <w:rsid w:val="635C7F88"/>
    <w:rsid w:val="64482A7B"/>
    <w:rsid w:val="64697CCA"/>
    <w:rsid w:val="64EA0E2A"/>
    <w:rsid w:val="65004F5B"/>
    <w:rsid w:val="65A81E23"/>
    <w:rsid w:val="66136B86"/>
    <w:rsid w:val="663673B8"/>
    <w:rsid w:val="66B32266"/>
    <w:rsid w:val="67AC76E5"/>
    <w:rsid w:val="67DD18F3"/>
    <w:rsid w:val="67EA7160"/>
    <w:rsid w:val="683003F3"/>
    <w:rsid w:val="686E541E"/>
    <w:rsid w:val="687F3190"/>
    <w:rsid w:val="69482078"/>
    <w:rsid w:val="69B077B0"/>
    <w:rsid w:val="69C20C6F"/>
    <w:rsid w:val="6A043DA6"/>
    <w:rsid w:val="6A2710A4"/>
    <w:rsid w:val="6B4A0F60"/>
    <w:rsid w:val="6B74799B"/>
    <w:rsid w:val="6C5D49A2"/>
    <w:rsid w:val="6CD942F3"/>
    <w:rsid w:val="6CEA6ABD"/>
    <w:rsid w:val="6D495AA4"/>
    <w:rsid w:val="6D742223"/>
    <w:rsid w:val="6D776456"/>
    <w:rsid w:val="6D891B99"/>
    <w:rsid w:val="6D8D1631"/>
    <w:rsid w:val="6D952495"/>
    <w:rsid w:val="6E736D9A"/>
    <w:rsid w:val="6EFD52CD"/>
    <w:rsid w:val="6F64268A"/>
    <w:rsid w:val="6FE426FA"/>
    <w:rsid w:val="70135C71"/>
    <w:rsid w:val="702171BF"/>
    <w:rsid w:val="70BF4D97"/>
    <w:rsid w:val="73C34B8D"/>
    <w:rsid w:val="751832C7"/>
    <w:rsid w:val="7583423E"/>
    <w:rsid w:val="75AD7701"/>
    <w:rsid w:val="760931AC"/>
    <w:rsid w:val="76BA21F4"/>
    <w:rsid w:val="76C36130"/>
    <w:rsid w:val="76D16B19"/>
    <w:rsid w:val="773D67A7"/>
    <w:rsid w:val="77A93571"/>
    <w:rsid w:val="77B231D7"/>
    <w:rsid w:val="782E09DB"/>
    <w:rsid w:val="794E099D"/>
    <w:rsid w:val="79643B7C"/>
    <w:rsid w:val="79791D55"/>
    <w:rsid w:val="79911FDE"/>
    <w:rsid w:val="79B87EF5"/>
    <w:rsid w:val="7ABF71A6"/>
    <w:rsid w:val="7C3345EE"/>
    <w:rsid w:val="7C3A5060"/>
    <w:rsid w:val="7DA4685B"/>
    <w:rsid w:val="7DF84675"/>
    <w:rsid w:val="7E664E0A"/>
    <w:rsid w:val="7F3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420" w:lineRule="atLeast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3">
    <w:name w:val="Body Text Indent"/>
    <w:basedOn w:val="1"/>
    <w:next w:val="1"/>
    <w:qFormat/>
    <w:uiPriority w:val="99"/>
    <w:pPr>
      <w:spacing w:after="120" w:afterLines="0"/>
      <w:ind w:left="420" w:leftChars="200"/>
    </w:pPr>
    <w:rPr>
      <w:szCs w:val="24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2022-12-15T09:56:00Z</dcterms:created>
  <dc:creator>1</dc:creator>
  <cp:lastModifiedBy>1</cp:lastModifiedBy>
  <dcterms:modified xsi:type="dcterms:W3CDTF">2022-12-15T09:56:49Z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D2A241C6B46542EABD1CE89E640AD40C</vt:lpwstr>
  </property>
</Properties>
</file>