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b/>
          <w:bCs/>
          <w:sz w:val="28"/>
          <w:szCs w:val="28"/>
        </w:rPr>
      </w:pPr>
      <w:r>
        <w:rPr>
          <w:b/>
          <w:bCs/>
          <w:sz w:val="28"/>
          <w:szCs w:val="28"/>
        </w:rPr>
        <w:t>附表1</w:t>
      </w:r>
    </w:p>
    <w:p>
      <w:pPr>
        <w:widowControl/>
        <w:jc w:val="center"/>
      </w:pPr>
      <w:r>
        <w:rPr>
          <w:rFonts w:eastAsia="黑体"/>
          <w:kern w:val="0"/>
          <w:sz w:val="24"/>
          <w:szCs w:val="24"/>
          <w:lang w:bidi="ar"/>
        </w:rPr>
        <w:t>资格审查强制性资格条件（资质最低要求)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22" w:type="dxa"/>
            <w:noWrap w:val="0"/>
            <w:vAlign w:val="center"/>
          </w:tcPr>
          <w:p>
            <w:pPr>
              <w:widowControl/>
              <w:jc w:val="center"/>
              <w:rPr>
                <w:kern w:val="0"/>
                <w:szCs w:val="21"/>
              </w:rPr>
            </w:pPr>
            <w:r>
              <w:rPr>
                <w:kern w:val="0"/>
                <w:szCs w:val="21"/>
                <w:lang w:bidi="ar"/>
              </w:rPr>
              <w:t>最低资质要求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8322" w:type="dxa"/>
            <w:noWrap w:val="0"/>
            <w:vAlign w:val="center"/>
          </w:tcPr>
          <w:p>
            <w:pPr>
              <w:pStyle w:val="5"/>
              <w:widowControl/>
              <w:spacing w:line="360" w:lineRule="auto"/>
              <w:ind w:left="0" w:leftChars="0" w:firstLine="0" w:firstLineChars="0"/>
              <w:jc w:val="left"/>
            </w:pPr>
            <w:r>
              <w:t>同时具备：</w:t>
            </w:r>
          </w:p>
          <w:p>
            <w:pPr>
              <w:pStyle w:val="5"/>
              <w:spacing w:line="360" w:lineRule="auto"/>
              <w:ind w:left="0" w:leftChars="0" w:firstLine="0" w:firstLineChars="0"/>
            </w:pPr>
            <w:r>
              <w:t>1.独立的法人资格，具备有效的营业执照；</w:t>
            </w:r>
          </w:p>
          <w:p>
            <w:pPr>
              <w:pStyle w:val="5"/>
              <w:spacing w:line="360" w:lineRule="auto"/>
              <w:ind w:left="0" w:leftChars="0" w:firstLine="0" w:firstLineChars="0"/>
            </w:pPr>
            <w:r>
              <w:t>2.</w:t>
            </w:r>
            <w:r>
              <w:rPr>
                <w:rFonts w:hint="eastAsia"/>
              </w:rPr>
              <w:t>为所采购设备制造厂商或采购车辆制造厂商的授权经销商或代理商，如为授权经销商或代理商应提供制造厂商出具的品牌经销商授权书。</w:t>
            </w:r>
            <w:r>
              <w:t>；</w:t>
            </w:r>
          </w:p>
          <w:p>
            <w:pPr>
              <w:pStyle w:val="5"/>
              <w:spacing w:line="360" w:lineRule="auto"/>
              <w:ind w:left="0" w:leftChars="0" w:firstLine="0" w:firstLineChars="0"/>
            </w:pPr>
            <w:r>
              <w:t>3.所供</w:t>
            </w:r>
            <w:r>
              <w:rPr>
                <w:rFonts w:hint="eastAsia"/>
              </w:rPr>
              <w:t>防撞车</w:t>
            </w:r>
            <w:r>
              <w:t>必须符合CCC认证要求并通过认证（出具有效期内的国家强制性产品认证书）；</w:t>
            </w:r>
          </w:p>
          <w:p>
            <w:pPr>
              <w:pStyle w:val="5"/>
              <w:spacing w:line="360" w:lineRule="auto"/>
              <w:ind w:left="0" w:leftChars="0" w:firstLine="0" w:firstLineChars="0"/>
            </w:pPr>
            <w:r>
              <w:t>4.所供</w:t>
            </w:r>
            <w:r>
              <w:rPr>
                <w:rFonts w:hint="eastAsia"/>
              </w:rPr>
              <w:t>防撞车</w:t>
            </w:r>
            <w:r>
              <w:t>列入国家《道路机动车辆生产企业及产品公告》目录（出具道路机动车辆生产企业及产品公告》目录）；</w:t>
            </w:r>
          </w:p>
          <w:p>
            <w:r>
              <w:t>5.</w:t>
            </w:r>
            <w:r>
              <w:rPr>
                <w:rFonts w:hint="eastAsia"/>
              </w:rPr>
              <w:t>防撞车配备的</w:t>
            </w:r>
            <w:r>
              <w:t>防撞垫</w:t>
            </w:r>
            <w:r>
              <w:rPr>
                <w:rFonts w:hint="eastAsia"/>
              </w:rPr>
              <w:t>需提供产品原产地证明及厂家授权证明以及第三方</w:t>
            </w:r>
            <w:r>
              <w:t>检测机构出具的实车碰撞检测报告</w:t>
            </w:r>
            <w:r>
              <w:rPr>
                <w:rFonts w:hint="eastAsia"/>
              </w:rPr>
              <w:t>，且在有效期内，检测标准依据</w:t>
            </w:r>
            <w:r>
              <w:t>《MASH2016》标准要求进行测试。</w:t>
            </w:r>
          </w:p>
          <w:p>
            <w:pPr>
              <w:pStyle w:val="5"/>
              <w:spacing w:line="360" w:lineRule="auto"/>
              <w:ind w:left="0" w:leftChars="0" w:firstLine="0" w:firstLineChars="0"/>
            </w:pPr>
          </w:p>
        </w:tc>
      </w:tr>
    </w:tbl>
    <w:p>
      <w:pPr>
        <w:widowControl/>
        <w:jc w:val="center"/>
        <w:rPr>
          <w:rFonts w:eastAsia="黑体"/>
          <w:kern w:val="0"/>
          <w:sz w:val="24"/>
          <w:szCs w:val="24"/>
          <w:lang w:bidi="ar"/>
        </w:rPr>
      </w:pPr>
    </w:p>
    <w:p>
      <w:pPr>
        <w:widowControl/>
        <w:jc w:val="center"/>
        <w:rPr>
          <w:rFonts w:eastAsia="黑体"/>
          <w:kern w:val="0"/>
          <w:sz w:val="24"/>
          <w:szCs w:val="24"/>
          <w:lang w:bidi="ar"/>
        </w:rPr>
      </w:pPr>
    </w:p>
    <w:p>
      <w:pPr>
        <w:widowControl/>
        <w:jc w:val="center"/>
        <w:rPr>
          <w:rFonts w:eastAsia="黑体"/>
          <w:kern w:val="0"/>
          <w:sz w:val="24"/>
          <w:szCs w:val="24"/>
          <w:lang w:bidi="ar"/>
        </w:rPr>
      </w:pPr>
    </w:p>
    <w:p>
      <w:pPr>
        <w:widowControl/>
        <w:jc w:val="center"/>
        <w:rPr>
          <w:rFonts w:eastAsia="黑体"/>
          <w:kern w:val="0"/>
          <w:sz w:val="24"/>
          <w:szCs w:val="24"/>
          <w:lang w:bidi="ar"/>
        </w:rPr>
      </w:pPr>
      <w:r>
        <w:rPr>
          <w:rFonts w:eastAsia="黑体"/>
          <w:kern w:val="0"/>
          <w:sz w:val="24"/>
          <w:szCs w:val="24"/>
          <w:lang w:bidi="ar"/>
        </w:rPr>
        <w:br w:type="page"/>
      </w:r>
      <w:r>
        <w:rPr>
          <w:rFonts w:eastAsia="黑体"/>
          <w:kern w:val="0"/>
          <w:sz w:val="24"/>
          <w:szCs w:val="24"/>
          <w:lang w:bidi="ar"/>
        </w:rPr>
        <w:t>资格审查强制性资格条件（业绩最低要求)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09" w:type="dxa"/>
            <w:noWrap w:val="0"/>
            <w:vAlign w:val="center"/>
          </w:tcPr>
          <w:p>
            <w:pPr>
              <w:widowControl/>
              <w:ind w:firstLine="840" w:firstLineChars="400"/>
              <w:jc w:val="center"/>
              <w:rPr>
                <w:kern w:val="0"/>
                <w:szCs w:val="21"/>
              </w:rPr>
            </w:pPr>
            <w:r>
              <w:rPr>
                <w:kern w:val="0"/>
                <w:szCs w:val="21"/>
                <w:lang w:bidi="ar"/>
              </w:rPr>
              <w:t>最低业绩要求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109" w:type="dxa"/>
            <w:noWrap w:val="0"/>
            <w:vAlign w:val="center"/>
          </w:tcPr>
          <w:p>
            <w:pPr>
              <w:widowControl/>
              <w:jc w:val="left"/>
            </w:pPr>
            <w:r>
              <w:t>近</w:t>
            </w:r>
            <w:r>
              <w:rPr>
                <w:rFonts w:hint="eastAsia"/>
              </w:rPr>
              <w:t>3</w:t>
            </w:r>
            <w:r>
              <w:t>年（</w:t>
            </w:r>
            <w:r>
              <w:rPr>
                <w:rFonts w:hint="eastAsia"/>
              </w:rPr>
              <w:t>2019</w:t>
            </w:r>
            <w:r>
              <w:t>年1月1日至投标截止日）</w:t>
            </w:r>
            <w:r>
              <w:rPr>
                <w:rFonts w:ascii="Calibri" w:hAnsi="Calibri"/>
                <w:lang w:bidi="ar"/>
              </w:rPr>
              <w:t>累计销售与拟供本项目的同品牌、同规格的数量分别不少于招标公告附件2中规定的</w:t>
            </w:r>
            <w:r>
              <w:rPr>
                <w:rFonts w:hint="eastAsia"/>
                <w:lang w:bidi="ar"/>
              </w:rPr>
              <w:t>设备</w:t>
            </w:r>
            <w:r>
              <w:rPr>
                <w:rFonts w:ascii="Calibri" w:hAnsi="Calibri"/>
                <w:lang w:bidi="ar"/>
              </w:rPr>
              <w:t>业绩要求最低数量</w:t>
            </w:r>
            <w:r>
              <w:rPr>
                <w:rFonts w:hint="eastAsia" w:ascii="Calibri" w:hAnsi="Calibri"/>
                <w:lang w:bidi="ar"/>
              </w:rPr>
              <w:t>（其中防撞车20台，推雪铲50台，撒布机50台）</w:t>
            </w:r>
            <w:r>
              <w:t>。</w:t>
            </w:r>
          </w:p>
        </w:tc>
      </w:tr>
    </w:tbl>
    <w:p>
      <w:pPr>
        <w:widowControl/>
        <w:jc w:val="center"/>
        <w:rPr>
          <w:rFonts w:eastAsia="黑体"/>
          <w:kern w:val="0"/>
          <w:sz w:val="24"/>
          <w:szCs w:val="24"/>
          <w:lang w:bidi="ar"/>
        </w:rPr>
      </w:pPr>
    </w:p>
    <w:p>
      <w:pPr>
        <w:widowControl/>
        <w:spacing w:line="360" w:lineRule="auto"/>
        <w:rPr>
          <w:kern w:val="0"/>
          <w:szCs w:val="21"/>
          <w:lang w:bidi="ar"/>
        </w:rPr>
      </w:pPr>
      <w:r>
        <w:rPr>
          <w:kern w:val="0"/>
          <w:szCs w:val="21"/>
          <w:lang w:bidi="ar"/>
        </w:rPr>
        <w:t>注：1.证明材料要求：销售合同的</w:t>
      </w:r>
      <w:r>
        <w:rPr>
          <w:rFonts w:hint="eastAsia"/>
          <w:kern w:val="0"/>
          <w:szCs w:val="21"/>
          <w:lang w:bidi="ar"/>
        </w:rPr>
        <w:t>复印件</w:t>
      </w:r>
      <w:r>
        <w:rPr>
          <w:kern w:val="0"/>
          <w:szCs w:val="21"/>
          <w:lang w:bidi="ar"/>
        </w:rPr>
        <w:t>(合同内容应能</w:t>
      </w:r>
      <w:r>
        <w:rPr>
          <w:rFonts w:hint="eastAsia"/>
          <w:kern w:val="0"/>
          <w:szCs w:val="21"/>
          <w:lang w:bidi="ar"/>
        </w:rPr>
        <w:t>反映</w:t>
      </w:r>
      <w:r>
        <w:rPr>
          <w:kern w:val="0"/>
          <w:szCs w:val="21"/>
          <w:lang w:bidi="ar"/>
        </w:rPr>
        <w:t>销售数量)</w:t>
      </w:r>
      <w:r>
        <w:rPr>
          <w:rFonts w:hint="eastAsia"/>
          <w:kern w:val="0"/>
          <w:szCs w:val="21"/>
          <w:lang w:bidi="ar"/>
        </w:rPr>
        <w:t>，提供的证明材料应能反映车辆品牌、规格等，</w:t>
      </w:r>
      <w:r>
        <w:rPr>
          <w:kern w:val="0"/>
          <w:szCs w:val="21"/>
          <w:lang w:bidi="ar"/>
        </w:rPr>
        <w:t>否则该业绩将不予认可</w:t>
      </w:r>
      <w:r>
        <w:rPr>
          <w:rFonts w:hint="eastAsia"/>
          <w:kern w:val="0"/>
          <w:szCs w:val="21"/>
          <w:lang w:bidi="ar"/>
        </w:rPr>
        <w:t>，认定时间以合同签订时间为准</w:t>
      </w:r>
      <w:r>
        <w:rPr>
          <w:kern w:val="0"/>
          <w:szCs w:val="21"/>
          <w:lang w:bidi="ar"/>
        </w:rPr>
        <w:t xml:space="preserve">。 </w:t>
      </w:r>
    </w:p>
    <w:p>
      <w:pPr>
        <w:widowControl/>
        <w:spacing w:line="360" w:lineRule="auto"/>
        <w:rPr>
          <w:kern w:val="0"/>
          <w:sz w:val="24"/>
          <w:szCs w:val="24"/>
          <w:lang w:bidi="ar"/>
        </w:rPr>
      </w:pPr>
      <w:r>
        <w:rPr>
          <w:kern w:val="0"/>
          <w:szCs w:val="21"/>
          <w:lang w:bidi="ar"/>
        </w:rPr>
        <w:t>2. 投标人为制造厂商的授权经销商</w:t>
      </w:r>
      <w:r>
        <w:rPr>
          <w:rFonts w:hint="eastAsia"/>
          <w:kern w:val="0"/>
          <w:szCs w:val="21"/>
          <w:lang w:bidi="ar"/>
        </w:rPr>
        <w:t>或</w:t>
      </w:r>
      <w:r>
        <w:rPr>
          <w:kern w:val="0"/>
          <w:szCs w:val="21"/>
          <w:lang w:bidi="ar"/>
        </w:rPr>
        <w:t>代理商的，授权的制造厂商提供的销售业绩可予以认定。</w:t>
      </w:r>
    </w:p>
    <w:p>
      <w:pPr>
        <w:widowControl/>
        <w:jc w:val="left"/>
        <w:rPr>
          <w:kern w:val="0"/>
          <w:sz w:val="24"/>
          <w:szCs w:val="24"/>
          <w:lang w:bidi="ar"/>
        </w:rPr>
      </w:pPr>
    </w:p>
    <w:p>
      <w:pPr>
        <w:widowControl/>
        <w:jc w:val="center"/>
      </w:pPr>
      <w:r>
        <w:rPr>
          <w:rFonts w:eastAsia="黑体"/>
          <w:kern w:val="0"/>
          <w:sz w:val="24"/>
          <w:szCs w:val="24"/>
          <w:lang w:bidi="ar"/>
        </w:rPr>
        <w:br w:type="page"/>
      </w:r>
      <w:r>
        <w:rPr>
          <w:rFonts w:eastAsia="黑体"/>
          <w:kern w:val="0"/>
          <w:sz w:val="24"/>
          <w:szCs w:val="24"/>
          <w:lang w:bidi="ar"/>
        </w:rPr>
        <w:t>资格审查强制性资格条件</w:t>
      </w:r>
      <w:r>
        <w:rPr>
          <w:kern w:val="0"/>
          <w:sz w:val="24"/>
          <w:szCs w:val="24"/>
          <w:lang w:bidi="ar"/>
        </w:rPr>
        <w:t>(财务最低要求)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26" w:type="dxa"/>
            <w:noWrap w:val="0"/>
            <w:vAlign w:val="center"/>
          </w:tcPr>
          <w:p>
            <w:pPr>
              <w:widowControl/>
              <w:ind w:firstLine="840" w:firstLineChars="400"/>
              <w:jc w:val="center"/>
              <w:rPr>
                <w:kern w:val="0"/>
                <w:szCs w:val="21"/>
              </w:rPr>
            </w:pPr>
            <w:r>
              <w:rPr>
                <w:kern w:val="0"/>
                <w:szCs w:val="21"/>
                <w:lang w:bidi="ar"/>
              </w:rPr>
              <w:t>最低财务要求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726" w:type="dxa"/>
            <w:noWrap w:val="0"/>
            <w:vAlign w:val="center"/>
          </w:tcPr>
          <w:p>
            <w:pPr>
              <w:widowControl/>
              <w:spacing w:line="480" w:lineRule="exact"/>
              <w:jc w:val="left"/>
              <w:rPr>
                <w:rFonts w:hint="eastAsia"/>
                <w:kern w:val="0"/>
                <w:szCs w:val="21"/>
              </w:rPr>
            </w:pPr>
            <w:r>
              <w:rPr>
                <w:rFonts w:hint="eastAsia"/>
                <w:kern w:val="0"/>
                <w:szCs w:val="21"/>
              </w:rPr>
              <w:t>第一种方式：</w:t>
            </w:r>
          </w:p>
          <w:p>
            <w:pPr>
              <w:widowControl/>
              <w:spacing w:line="480" w:lineRule="exact"/>
              <w:jc w:val="left"/>
              <w:rPr>
                <w:rFonts w:hint="eastAsia"/>
                <w:kern w:val="0"/>
                <w:szCs w:val="21"/>
              </w:rPr>
            </w:pPr>
            <w:r>
              <w:rPr>
                <w:rFonts w:hint="eastAsia"/>
                <w:kern w:val="0"/>
                <w:szCs w:val="21"/>
              </w:rPr>
              <w:t>近3年每年的营业收入不少于2000万元且近3年每年的净资产不少于500万元。</w:t>
            </w:r>
          </w:p>
          <w:p>
            <w:pPr>
              <w:widowControl/>
              <w:spacing w:line="480" w:lineRule="exact"/>
              <w:jc w:val="left"/>
              <w:rPr>
                <w:rFonts w:hint="eastAsia"/>
                <w:kern w:val="0"/>
                <w:szCs w:val="21"/>
              </w:rPr>
            </w:pPr>
            <w:r>
              <w:rPr>
                <w:rFonts w:hint="eastAsia"/>
                <w:kern w:val="0"/>
                <w:szCs w:val="21"/>
              </w:rPr>
              <w:t>第二种方式：</w:t>
            </w:r>
          </w:p>
          <w:p>
            <w:pPr>
              <w:widowControl/>
              <w:spacing w:line="480" w:lineRule="exact"/>
              <w:jc w:val="left"/>
              <w:rPr>
                <w:rFonts w:hint="eastAsia"/>
                <w:kern w:val="0"/>
                <w:szCs w:val="21"/>
              </w:rPr>
            </w:pPr>
            <w:r>
              <w:rPr>
                <w:rFonts w:hint="eastAsia"/>
                <w:kern w:val="0"/>
                <w:szCs w:val="21"/>
              </w:rPr>
              <w:t>由银行出具申请日前3个月内（2022年8、9、10月）的单位账户流水证明，3个月月末账户余额的平均值不少于50万元。</w:t>
            </w:r>
          </w:p>
          <w:p>
            <w:pPr>
              <w:widowControl/>
              <w:spacing w:line="480" w:lineRule="exact"/>
              <w:jc w:val="left"/>
              <w:rPr>
                <w:kern w:val="0"/>
                <w:szCs w:val="21"/>
              </w:rPr>
            </w:pPr>
            <w:r>
              <w:rPr>
                <w:rFonts w:hint="eastAsia"/>
                <w:kern w:val="0"/>
                <w:szCs w:val="21"/>
              </w:rPr>
              <w:t>上述两种方式满足其中一种即可。</w:t>
            </w:r>
          </w:p>
        </w:tc>
      </w:tr>
    </w:tbl>
    <w:p>
      <w:pPr>
        <w:widowControl/>
        <w:rPr>
          <w:kern w:val="0"/>
          <w:szCs w:val="21"/>
          <w:lang w:bidi="ar"/>
        </w:rPr>
      </w:pPr>
    </w:p>
    <w:p>
      <w:pPr>
        <w:widowControl/>
        <w:rPr>
          <w:kern w:val="0"/>
          <w:szCs w:val="21"/>
          <w:lang w:bidi="ar"/>
        </w:rPr>
      </w:pPr>
      <w:r>
        <w:rPr>
          <w:kern w:val="0"/>
          <w:szCs w:val="21"/>
          <w:lang w:bidi="ar"/>
        </w:rPr>
        <w:t>注：1.采用第一种方式的投标人的成立时间少于上述规定年份的，以成立以来的年平均营业收入认定（提供相应年份的经会计师事务所或审计机构审计的财务会计报表，无相应财务会计报表的不予认可）。</w:t>
      </w:r>
    </w:p>
    <w:p>
      <w:pPr>
        <w:widowControl/>
        <w:ind w:firstLine="210" w:firstLineChars="100"/>
        <w:rPr>
          <w:kern w:val="0"/>
          <w:szCs w:val="21"/>
          <w:lang w:bidi="ar"/>
        </w:rPr>
      </w:pPr>
      <w:r>
        <w:rPr>
          <w:kern w:val="0"/>
          <w:szCs w:val="21"/>
          <w:lang w:bidi="ar"/>
        </w:rPr>
        <w:t>2.采用第二种方式应附银行出具（须银行盖章）申请日前3个月内的单位账户流水证明。</w:t>
      </w:r>
    </w:p>
    <w:p>
      <w:pPr>
        <w:widowControl/>
        <w:ind w:firstLine="210" w:firstLineChars="100"/>
        <w:rPr>
          <w:kern w:val="0"/>
          <w:szCs w:val="21"/>
          <w:lang w:bidi="ar"/>
        </w:rPr>
        <w:sectPr>
          <w:pgSz w:w="11906" w:h="16838" w:orient="landscape"/>
          <w:pgMar w:top="1247" w:right="1134" w:bottom="1134" w:left="1247" w:header="999" w:footer="992" w:gutter="0"/>
          <w:cols w:space="720" w:num="1"/>
          <w:docGrid w:type="lines" w:linePitch="312" w:charSpace="0"/>
        </w:sectPr>
      </w:pPr>
      <w:r>
        <w:rPr>
          <w:kern w:val="0"/>
          <w:szCs w:val="21"/>
          <w:lang w:bidi="ar"/>
        </w:rPr>
        <w:t>3.近3年是指：201</w:t>
      </w:r>
      <w:r>
        <w:rPr>
          <w:rFonts w:hint="eastAsia"/>
          <w:kern w:val="0"/>
          <w:szCs w:val="21"/>
          <w:lang w:bidi="ar"/>
        </w:rPr>
        <w:t>9</w:t>
      </w:r>
      <w:r>
        <w:rPr>
          <w:kern w:val="0"/>
          <w:szCs w:val="21"/>
          <w:lang w:bidi="ar"/>
        </w:rPr>
        <w:t>，20</w:t>
      </w:r>
      <w:r>
        <w:rPr>
          <w:rFonts w:hint="eastAsia"/>
          <w:kern w:val="0"/>
          <w:szCs w:val="21"/>
          <w:lang w:bidi="ar"/>
        </w:rPr>
        <w:t>20</w:t>
      </w:r>
      <w:r>
        <w:rPr>
          <w:kern w:val="0"/>
          <w:szCs w:val="21"/>
          <w:lang w:bidi="ar"/>
        </w:rPr>
        <w:t>，202</w:t>
      </w:r>
      <w:r>
        <w:rPr>
          <w:rFonts w:hint="eastAsia"/>
          <w:kern w:val="0"/>
          <w:szCs w:val="21"/>
          <w:lang w:bidi="ar"/>
        </w:rPr>
        <w:t>1</w:t>
      </w:r>
      <w:r>
        <w:rPr>
          <w:kern w:val="0"/>
          <w:szCs w:val="21"/>
          <w:lang w:bidi="ar"/>
        </w:rPr>
        <w:t>年。</w:t>
      </w:r>
    </w:p>
    <w:p>
      <w:r>
        <w:rPr>
          <w:rFonts w:eastAsia="黑体"/>
          <w:kern w:val="0"/>
          <w:sz w:val="24"/>
          <w:szCs w:val="24"/>
          <w:lang w:bidi="ar"/>
        </w:rPr>
        <w:t>附件2</w:t>
      </w:r>
    </w:p>
    <w:p>
      <w:pPr>
        <w:pStyle w:val="8"/>
        <w:spacing w:line="400" w:lineRule="exact"/>
        <w:ind w:firstLine="0" w:firstLineChars="0"/>
        <w:jc w:val="left"/>
        <w:rPr>
          <w:rFonts w:hint="eastAsia"/>
          <w:kern w:val="0"/>
          <w:szCs w:val="21"/>
        </w:rPr>
      </w:pPr>
    </w:p>
    <w:p>
      <w:pPr>
        <w:jc w:val="center"/>
        <w:rPr>
          <w:sz w:val="44"/>
          <w:szCs w:val="44"/>
        </w:rPr>
      </w:pPr>
      <w:r>
        <w:rPr>
          <w:sz w:val="36"/>
          <w:szCs w:val="36"/>
        </w:rPr>
        <w:t>设备采购清单</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14"/>
        <w:gridCol w:w="4524"/>
        <w:gridCol w:w="1096"/>
        <w:gridCol w:w="8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shd w:val="clear" w:color="auto" w:fill="auto"/>
            <w:noWrap w:val="0"/>
            <w:vAlign w:val="center"/>
          </w:tcPr>
          <w:p>
            <w:pPr>
              <w:jc w:val="center"/>
              <w:rPr>
                <w:rFonts w:hint="eastAsia"/>
                <w:kern w:val="0"/>
                <w:szCs w:val="21"/>
              </w:rPr>
            </w:pPr>
            <w:r>
              <w:rPr>
                <w:rFonts w:hint="eastAsia"/>
                <w:kern w:val="0"/>
                <w:szCs w:val="21"/>
              </w:rPr>
              <w:t>序号</w:t>
            </w:r>
          </w:p>
        </w:tc>
        <w:tc>
          <w:tcPr>
            <w:tcW w:w="1114" w:type="dxa"/>
            <w:shd w:val="clear" w:color="auto" w:fill="auto"/>
            <w:noWrap w:val="0"/>
            <w:vAlign w:val="center"/>
          </w:tcPr>
          <w:p>
            <w:pPr>
              <w:jc w:val="center"/>
              <w:rPr>
                <w:kern w:val="0"/>
                <w:szCs w:val="21"/>
              </w:rPr>
            </w:pPr>
            <w:r>
              <w:rPr>
                <w:kern w:val="0"/>
                <w:szCs w:val="21"/>
              </w:rPr>
              <w:t>货物名称</w:t>
            </w:r>
          </w:p>
        </w:tc>
        <w:tc>
          <w:tcPr>
            <w:tcW w:w="4524" w:type="dxa"/>
            <w:shd w:val="clear" w:color="auto" w:fill="auto"/>
            <w:noWrap w:val="0"/>
            <w:vAlign w:val="center"/>
          </w:tcPr>
          <w:p>
            <w:pPr>
              <w:jc w:val="center"/>
              <w:rPr>
                <w:rFonts w:hint="eastAsia"/>
                <w:kern w:val="0"/>
                <w:szCs w:val="21"/>
              </w:rPr>
            </w:pPr>
            <w:r>
              <w:rPr>
                <w:kern w:val="0"/>
                <w:szCs w:val="21"/>
              </w:rPr>
              <w:t>技术参数</w:t>
            </w:r>
            <w:r>
              <w:rPr>
                <w:rFonts w:hint="eastAsia"/>
                <w:kern w:val="0"/>
                <w:szCs w:val="21"/>
              </w:rPr>
              <w:t>（技术性能指标）</w:t>
            </w:r>
          </w:p>
        </w:tc>
        <w:tc>
          <w:tcPr>
            <w:tcW w:w="1096" w:type="dxa"/>
            <w:shd w:val="clear" w:color="auto" w:fill="auto"/>
            <w:noWrap w:val="0"/>
            <w:vAlign w:val="center"/>
          </w:tcPr>
          <w:p>
            <w:pPr>
              <w:jc w:val="center"/>
              <w:rPr>
                <w:kern w:val="0"/>
                <w:szCs w:val="21"/>
              </w:rPr>
            </w:pPr>
            <w:r>
              <w:rPr>
                <w:kern w:val="0"/>
                <w:szCs w:val="21"/>
              </w:rPr>
              <w:t>采购数量（台）</w:t>
            </w:r>
          </w:p>
        </w:tc>
        <w:tc>
          <w:tcPr>
            <w:tcW w:w="876" w:type="dxa"/>
            <w:shd w:val="clear" w:color="auto" w:fill="auto"/>
            <w:noWrap w:val="0"/>
            <w:vAlign w:val="center"/>
          </w:tcPr>
          <w:p>
            <w:pPr>
              <w:jc w:val="center"/>
              <w:rPr>
                <w:kern w:val="0"/>
                <w:szCs w:val="21"/>
              </w:rPr>
            </w:pPr>
            <w:r>
              <w:rPr>
                <w:kern w:val="0"/>
                <w:szCs w:val="21"/>
              </w:rPr>
              <w:t>业绩要求最低数量(台)</w:t>
            </w:r>
          </w:p>
        </w:tc>
        <w:tc>
          <w:tcPr>
            <w:tcW w:w="900" w:type="dxa"/>
            <w:shd w:val="clear" w:color="auto" w:fill="auto"/>
            <w:noWrap w:val="0"/>
            <w:vAlign w:val="center"/>
          </w:tcPr>
          <w:p>
            <w:pPr>
              <w:jc w:val="center"/>
              <w:rPr>
                <w:rFonts w:hint="eastAsia"/>
                <w:kern w:val="0"/>
                <w:szCs w:val="21"/>
              </w:rPr>
            </w:pPr>
            <w:r>
              <w:rPr>
                <w:rFonts w:hint="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shd w:val="clear" w:color="auto" w:fill="auto"/>
            <w:noWrap w:val="0"/>
            <w:vAlign w:val="center"/>
          </w:tcPr>
          <w:p>
            <w:pPr>
              <w:jc w:val="center"/>
              <w:rPr>
                <w:rFonts w:hint="eastAsia"/>
                <w:kern w:val="0"/>
                <w:szCs w:val="21"/>
              </w:rPr>
            </w:pPr>
            <w:r>
              <w:rPr>
                <w:rFonts w:hint="eastAsia"/>
                <w:kern w:val="0"/>
                <w:szCs w:val="21"/>
                <w:lang w:bidi="ar"/>
              </w:rPr>
              <w:t>1</w:t>
            </w:r>
          </w:p>
        </w:tc>
        <w:tc>
          <w:tcPr>
            <w:tcW w:w="1114" w:type="dxa"/>
            <w:shd w:val="clear" w:color="auto" w:fill="auto"/>
            <w:noWrap w:val="0"/>
            <w:vAlign w:val="center"/>
          </w:tcPr>
          <w:p>
            <w:pPr>
              <w:jc w:val="center"/>
              <w:rPr>
                <w:kern w:val="0"/>
                <w:szCs w:val="21"/>
              </w:rPr>
            </w:pPr>
            <w:r>
              <w:rPr>
                <w:rFonts w:hint="eastAsia"/>
                <w:kern w:val="0"/>
                <w:szCs w:val="21"/>
              </w:rPr>
              <w:t>防撞车</w:t>
            </w:r>
          </w:p>
        </w:tc>
        <w:tc>
          <w:tcPr>
            <w:tcW w:w="4524" w:type="dxa"/>
            <w:shd w:val="clear" w:color="auto" w:fill="auto"/>
            <w:noWrap w:val="0"/>
            <w:vAlign w:val="center"/>
          </w:tcPr>
          <w:p>
            <w:pPr>
              <w:spacing w:line="360" w:lineRule="auto"/>
              <w:rPr>
                <w:b/>
                <w:bCs/>
                <w:sz w:val="20"/>
                <w:szCs w:val="20"/>
              </w:rPr>
            </w:pPr>
            <w:r>
              <w:rPr>
                <w:rFonts w:hint="eastAsia"/>
                <w:b/>
                <w:bCs/>
                <w:sz w:val="20"/>
                <w:szCs w:val="20"/>
              </w:rPr>
              <w:t>①主车体：</w:t>
            </w:r>
          </w:p>
          <w:p>
            <w:pPr>
              <w:spacing w:line="360" w:lineRule="auto"/>
              <w:rPr>
                <w:rFonts w:hint="eastAsia"/>
                <w:sz w:val="20"/>
                <w:szCs w:val="20"/>
              </w:rPr>
            </w:pPr>
            <w:r>
              <w:rPr>
                <w:sz w:val="20"/>
                <w:szCs w:val="20"/>
              </w:rPr>
              <w:t>*</w:t>
            </w:r>
            <w:r>
              <w:rPr>
                <w:rFonts w:hint="eastAsia"/>
                <w:sz w:val="20"/>
                <w:szCs w:val="20"/>
              </w:rPr>
              <w:t>1、底盘：国内知名品牌</w:t>
            </w:r>
          </w:p>
          <w:p>
            <w:pPr>
              <w:spacing w:line="360" w:lineRule="auto"/>
              <w:rPr>
                <w:rFonts w:hint="eastAsia"/>
                <w:sz w:val="20"/>
                <w:szCs w:val="20"/>
              </w:rPr>
            </w:pPr>
            <w:r>
              <w:rPr>
                <w:sz w:val="20"/>
                <w:szCs w:val="20"/>
              </w:rPr>
              <w:t>*</w:t>
            </w:r>
            <w:r>
              <w:rPr>
                <w:rFonts w:hint="eastAsia"/>
                <w:sz w:val="20"/>
                <w:szCs w:val="20"/>
              </w:rPr>
              <w:t>2、排放标准：国六</w:t>
            </w:r>
          </w:p>
          <w:p>
            <w:pPr>
              <w:spacing w:line="360" w:lineRule="auto"/>
              <w:rPr>
                <w:sz w:val="20"/>
                <w:szCs w:val="20"/>
              </w:rPr>
            </w:pPr>
            <w:r>
              <w:rPr>
                <w:sz w:val="20"/>
                <w:szCs w:val="20"/>
              </w:rPr>
              <w:t>*</w:t>
            </w:r>
            <w:r>
              <w:rPr>
                <w:rFonts w:hint="eastAsia"/>
                <w:sz w:val="20"/>
                <w:szCs w:val="20"/>
              </w:rPr>
              <w:t>3、燃油类型：柴油</w:t>
            </w:r>
          </w:p>
          <w:p>
            <w:pPr>
              <w:spacing w:line="360" w:lineRule="auto"/>
              <w:rPr>
                <w:sz w:val="20"/>
                <w:szCs w:val="20"/>
              </w:rPr>
            </w:pPr>
            <w:r>
              <w:rPr>
                <w:sz w:val="20"/>
                <w:szCs w:val="20"/>
              </w:rPr>
              <w:t>*</w:t>
            </w:r>
            <w:r>
              <w:rPr>
                <w:rFonts w:hint="eastAsia"/>
                <w:color w:val="000000"/>
                <w:sz w:val="20"/>
                <w:szCs w:val="20"/>
              </w:rPr>
              <w:t>4、整车总质量：</w:t>
            </w:r>
            <w:r>
              <w:rPr>
                <w:rFonts w:hint="eastAsia"/>
                <w:color w:val="000000"/>
                <w:kern w:val="0"/>
                <w:sz w:val="20"/>
                <w:szCs w:val="20"/>
              </w:rPr>
              <w:t>&gt;</w:t>
            </w:r>
            <w:r>
              <w:rPr>
                <w:color w:val="000000"/>
                <w:kern w:val="0"/>
                <w:sz w:val="20"/>
                <w:szCs w:val="20"/>
              </w:rPr>
              <w:t>140</w:t>
            </w:r>
            <w:r>
              <w:rPr>
                <w:rFonts w:hint="eastAsia"/>
                <w:color w:val="000000"/>
                <w:kern w:val="0"/>
                <w:sz w:val="20"/>
                <w:szCs w:val="20"/>
              </w:rPr>
              <w:t>60kg</w:t>
            </w:r>
          </w:p>
          <w:p>
            <w:pPr>
              <w:spacing w:line="360" w:lineRule="auto"/>
              <w:rPr>
                <w:rFonts w:hint="eastAsia"/>
                <w:kern w:val="0"/>
                <w:sz w:val="20"/>
                <w:szCs w:val="20"/>
              </w:rPr>
            </w:pPr>
            <w:r>
              <w:rPr>
                <w:sz w:val="20"/>
                <w:szCs w:val="20"/>
              </w:rPr>
              <w:t>*</w:t>
            </w:r>
            <w:r>
              <w:rPr>
                <w:rFonts w:hint="eastAsia"/>
                <w:sz w:val="20"/>
                <w:szCs w:val="20"/>
              </w:rPr>
              <w:t>5、</w:t>
            </w:r>
            <w:r>
              <w:rPr>
                <w:rFonts w:hint="eastAsia" w:ascii="Calibri" w:hAnsi="Calibri"/>
                <w:sz w:val="20"/>
                <w:szCs w:val="20"/>
              </w:rPr>
              <w:t>功率</w:t>
            </w:r>
            <w:r>
              <w:rPr>
                <w:rFonts w:hint="eastAsia"/>
                <w:sz w:val="20"/>
                <w:szCs w:val="20"/>
              </w:rPr>
              <w:t>：</w:t>
            </w:r>
            <w:r>
              <w:rPr>
                <w:rFonts w:hint="eastAsia" w:ascii="Calibri" w:hAnsi="Calibri"/>
                <w:sz w:val="20"/>
                <w:szCs w:val="20"/>
              </w:rPr>
              <w:t>≥</w:t>
            </w:r>
            <w:r>
              <w:rPr>
                <w:sz w:val="20"/>
                <w:szCs w:val="20"/>
              </w:rPr>
              <w:t>1</w:t>
            </w:r>
            <w:r>
              <w:rPr>
                <w:rFonts w:hint="eastAsia"/>
                <w:sz w:val="20"/>
                <w:szCs w:val="20"/>
              </w:rPr>
              <w:t>10</w:t>
            </w:r>
            <w:r>
              <w:rPr>
                <w:rFonts w:hint="eastAsia" w:ascii="Calibri" w:hAnsi="Calibri"/>
                <w:sz w:val="20"/>
                <w:szCs w:val="20"/>
              </w:rPr>
              <w:t>kw</w:t>
            </w:r>
          </w:p>
          <w:p>
            <w:pPr>
              <w:spacing w:line="360" w:lineRule="auto"/>
              <w:rPr>
                <w:rFonts w:hint="eastAsia"/>
                <w:sz w:val="20"/>
                <w:szCs w:val="20"/>
              </w:rPr>
            </w:pPr>
            <w:r>
              <w:rPr>
                <w:sz w:val="20"/>
                <w:szCs w:val="20"/>
              </w:rPr>
              <w:t>*</w:t>
            </w:r>
            <w:r>
              <w:rPr>
                <w:rFonts w:hint="eastAsia"/>
                <w:kern w:val="0"/>
                <w:sz w:val="20"/>
                <w:szCs w:val="20"/>
              </w:rPr>
              <w:t>6、防撞能力：1.1吨-2.3吨，100km/h</w:t>
            </w:r>
          </w:p>
          <w:p>
            <w:pPr>
              <w:spacing w:line="360" w:lineRule="auto"/>
              <w:rPr>
                <w:rFonts w:hint="eastAsia"/>
                <w:sz w:val="20"/>
                <w:szCs w:val="20"/>
              </w:rPr>
            </w:pPr>
            <w:r>
              <w:rPr>
                <w:rFonts w:hint="eastAsia"/>
                <w:sz w:val="20"/>
                <w:szCs w:val="20"/>
              </w:rPr>
              <w:t>7、结构外观</w:t>
            </w:r>
            <w:r>
              <w:rPr>
                <w:rFonts w:hint="eastAsia"/>
                <w:sz w:val="20"/>
                <w:szCs w:val="20"/>
              </w:rPr>
              <w:tab/>
            </w:r>
            <w:r>
              <w:rPr>
                <w:rFonts w:hint="eastAsia" w:ascii="宋体" w:hAnsi="宋体" w:cs="宋体"/>
                <w:b/>
                <w:bCs/>
                <w:kern w:val="0"/>
                <w:sz w:val="20"/>
                <w:szCs w:val="20"/>
              </w:rPr>
              <w:t>：</w:t>
            </w:r>
            <w:r>
              <w:rPr>
                <w:rFonts w:hint="eastAsia"/>
                <w:sz w:val="20"/>
                <w:szCs w:val="20"/>
              </w:rPr>
              <w:t>主吸能部分采用黄色喷涂，外部应有外扩型导向框架在发生碰撞为汽车后部的尾角区域提供保护，防止小车钻入到前车尾部，降低撞击风险等级。</w:t>
            </w:r>
          </w:p>
          <w:p>
            <w:pPr>
              <w:spacing w:line="360" w:lineRule="auto"/>
              <w:rPr>
                <w:rFonts w:hint="eastAsia"/>
              </w:rPr>
            </w:pPr>
            <w:r>
              <w:rPr>
                <w:rFonts w:hint="eastAsia"/>
                <w:sz w:val="20"/>
                <w:szCs w:val="20"/>
              </w:rPr>
              <w:t>8、性能要求：</w:t>
            </w:r>
          </w:p>
          <w:p>
            <w:pPr>
              <w:widowControl/>
              <w:spacing w:line="360" w:lineRule="auto"/>
              <w:rPr>
                <w:rFonts w:hint="eastAsia"/>
                <w:sz w:val="20"/>
                <w:szCs w:val="20"/>
              </w:rPr>
            </w:pPr>
            <w:r>
              <w:rPr>
                <w:rFonts w:hint="eastAsia"/>
                <w:sz w:val="20"/>
                <w:szCs w:val="20"/>
              </w:rPr>
              <w:t>（1）防撞缓冲垫具有两级吸能功效，可满足低速撞击下外部零部件具有快速替换功能。</w:t>
            </w:r>
          </w:p>
          <w:p>
            <w:pPr>
              <w:widowControl/>
              <w:spacing w:line="360" w:lineRule="auto"/>
              <w:rPr>
                <w:rFonts w:hint="eastAsia"/>
                <w:sz w:val="20"/>
                <w:szCs w:val="20"/>
              </w:rPr>
            </w:pPr>
            <w:r>
              <w:rPr>
                <w:rFonts w:hint="eastAsia"/>
                <w:sz w:val="20"/>
                <w:szCs w:val="20"/>
              </w:rPr>
              <w:t>（2）车辆底盘需配备ABS功能的刹车系统。驾驶室应视野良好，并带有冷暖空调系统和FM/AM收音机；</w:t>
            </w:r>
          </w:p>
          <w:p>
            <w:pPr>
              <w:widowControl/>
              <w:spacing w:line="360" w:lineRule="auto"/>
              <w:rPr>
                <w:rFonts w:hint="eastAsia"/>
                <w:sz w:val="20"/>
                <w:szCs w:val="20"/>
              </w:rPr>
            </w:pPr>
            <w:r>
              <w:rPr>
                <w:rFonts w:hint="eastAsia"/>
                <w:sz w:val="20"/>
                <w:szCs w:val="20"/>
              </w:rPr>
              <w:t>（3）防撞垫工作控制方式，驾驶室/遥控；</w:t>
            </w:r>
          </w:p>
          <w:p>
            <w:pPr>
              <w:widowControl/>
              <w:spacing w:line="360" w:lineRule="auto"/>
              <w:rPr>
                <w:rFonts w:hint="eastAsia"/>
                <w:sz w:val="20"/>
                <w:szCs w:val="20"/>
              </w:rPr>
            </w:pPr>
            <w:r>
              <w:rPr>
                <w:rFonts w:hint="eastAsia"/>
                <w:sz w:val="20"/>
                <w:szCs w:val="20"/>
              </w:rPr>
              <w:t>（4）防撞垫驱动采用独立液压系统；</w:t>
            </w:r>
          </w:p>
          <w:p>
            <w:pPr>
              <w:spacing w:line="360" w:lineRule="auto"/>
              <w:rPr>
                <w:rFonts w:hint="eastAsia"/>
                <w:sz w:val="20"/>
                <w:szCs w:val="20"/>
              </w:rPr>
            </w:pPr>
            <w:r>
              <w:rPr>
                <w:rFonts w:hint="eastAsia"/>
                <w:sz w:val="20"/>
                <w:szCs w:val="20"/>
              </w:rPr>
              <w:t>（5）需配有行车记录仪和倒车影像，可在驾驶室内观察，车辆后方安装摄像头，用于防撞包收起与放下两种状态时使用。</w:t>
            </w:r>
          </w:p>
          <w:p>
            <w:pPr>
              <w:spacing w:line="360" w:lineRule="auto"/>
              <w:rPr>
                <w:rFonts w:hint="eastAsia"/>
                <w:sz w:val="20"/>
                <w:szCs w:val="20"/>
              </w:rPr>
            </w:pPr>
            <w:r>
              <w:rPr>
                <w:rFonts w:hint="eastAsia"/>
                <w:sz w:val="20"/>
                <w:szCs w:val="20"/>
              </w:rPr>
              <w:t>9、防撞等级及证明材料要求：需提供防撞缓冲垫参考《MASH2016》防撞等级测试标准进行正向追尾/偏置正向追尾/偏斜向追尾的第三方专业检测机构出具的实车碰撞检测报告。</w:t>
            </w:r>
          </w:p>
          <w:p>
            <w:pPr>
              <w:spacing w:line="360" w:lineRule="auto"/>
              <w:rPr>
                <w:rFonts w:hint="eastAsia"/>
                <w:sz w:val="20"/>
                <w:szCs w:val="20"/>
              </w:rPr>
            </w:pPr>
            <w:r>
              <w:rPr>
                <w:rFonts w:hint="eastAsia"/>
                <w:sz w:val="20"/>
                <w:szCs w:val="20"/>
              </w:rPr>
              <w:t>10、测试报告内容要求：碰撞检测报告中的防撞缓冲垫尺寸和结构需与投标产品一致。</w:t>
            </w:r>
          </w:p>
          <w:p>
            <w:pPr>
              <w:spacing w:line="360" w:lineRule="auto"/>
              <w:rPr>
                <w:rFonts w:hint="eastAsia"/>
                <w:sz w:val="20"/>
                <w:szCs w:val="20"/>
              </w:rPr>
            </w:pPr>
            <w:r>
              <w:rPr>
                <w:rFonts w:hint="eastAsia"/>
                <w:sz w:val="20"/>
                <w:szCs w:val="20"/>
              </w:rPr>
              <w:t>11、质量保证：防撞缓冲垫应具有知名保险公司进行质量承保。</w:t>
            </w:r>
          </w:p>
          <w:p>
            <w:pPr>
              <w:spacing w:line="360" w:lineRule="auto"/>
              <w:rPr>
                <w:rFonts w:hint="eastAsia"/>
                <w:sz w:val="20"/>
                <w:szCs w:val="20"/>
              </w:rPr>
            </w:pPr>
            <w:r>
              <w:rPr>
                <w:rFonts w:hint="eastAsia"/>
                <w:sz w:val="20"/>
                <w:szCs w:val="20"/>
              </w:rPr>
              <w:t>*12、警示灯光要求：车辆设有大型高亮度组合式LED导向灯阵，具备同步灯光系统（转向灯、刹车灯、行车灯、雾灯、示廓灯、侧标识灯等）。</w:t>
            </w:r>
          </w:p>
          <w:p>
            <w:pPr>
              <w:spacing w:line="360" w:lineRule="auto"/>
              <w:jc w:val="left"/>
              <w:rPr>
                <w:rFonts w:hint="eastAsia"/>
                <w:kern w:val="0"/>
                <w:sz w:val="20"/>
                <w:szCs w:val="20"/>
              </w:rPr>
            </w:pPr>
            <w:r>
              <w:rPr>
                <w:rFonts w:hint="eastAsia"/>
                <w:sz w:val="20"/>
                <w:szCs w:val="20"/>
              </w:rPr>
              <w:t>*13、整车车厢为开放式货箱，便于业主后期加装或收放工具，不允许为封闭式货箱。</w:t>
            </w:r>
          </w:p>
          <w:p>
            <w:pPr>
              <w:spacing w:line="360" w:lineRule="auto"/>
              <w:jc w:val="left"/>
              <w:rPr>
                <w:rFonts w:hint="eastAsia"/>
                <w:kern w:val="0"/>
                <w:sz w:val="20"/>
                <w:szCs w:val="20"/>
              </w:rPr>
            </w:pPr>
            <w:r>
              <w:rPr>
                <w:rFonts w:hint="eastAsia"/>
                <w:kern w:val="0"/>
                <w:sz w:val="20"/>
                <w:szCs w:val="20"/>
              </w:rPr>
              <w:t>14、厂家还需提供被撞修复期免费换车替补及保险的处理等最低服务服务。</w:t>
            </w:r>
          </w:p>
          <w:p>
            <w:pPr>
              <w:spacing w:line="360" w:lineRule="auto"/>
              <w:jc w:val="left"/>
              <w:rPr>
                <w:rFonts w:hint="eastAsia"/>
                <w:b/>
                <w:bCs/>
                <w:color w:val="000000"/>
                <w:kern w:val="0"/>
                <w:szCs w:val="21"/>
              </w:rPr>
            </w:pPr>
            <w:r>
              <w:rPr>
                <w:rFonts w:hint="eastAsia"/>
                <w:b/>
                <w:bCs/>
                <w:color w:val="000000"/>
                <w:kern w:val="0"/>
                <w:szCs w:val="21"/>
              </w:rPr>
              <w:t>② 预警云盒：</w:t>
            </w:r>
          </w:p>
          <w:p>
            <w:pPr>
              <w:spacing w:line="360" w:lineRule="auto"/>
              <w:jc w:val="left"/>
              <w:rPr>
                <w:rFonts w:hint="eastAsia"/>
                <w:kern w:val="0"/>
                <w:sz w:val="20"/>
                <w:szCs w:val="20"/>
              </w:rPr>
            </w:pPr>
            <w:r>
              <w:rPr>
                <w:rFonts w:hint="eastAsia"/>
                <w:kern w:val="0"/>
                <w:sz w:val="20"/>
                <w:szCs w:val="20"/>
              </w:rPr>
              <w:t>置于防撞车内，可卫星、网络定位，由厂家负责在目前主流导航软件（高德、百度等）上显示位置，并在导航软件中在距离防撞车至少5KM以外对高速司乘人员提示预警。</w:t>
            </w:r>
          </w:p>
          <w:p>
            <w:pPr>
              <w:spacing w:line="360" w:lineRule="auto"/>
              <w:jc w:val="left"/>
              <w:rPr>
                <w:rFonts w:hint="eastAsia"/>
                <w:color w:val="000000"/>
                <w:kern w:val="0"/>
                <w:szCs w:val="21"/>
              </w:rPr>
            </w:pPr>
            <w:r>
              <w:rPr>
                <w:rFonts w:hint="eastAsia"/>
                <w:b/>
                <w:bCs/>
                <w:color w:val="000000"/>
                <w:kern w:val="0"/>
                <w:szCs w:val="21"/>
              </w:rPr>
              <w:t>③ 定向声波预警装置及智能报警手环（手环</w:t>
            </w:r>
            <w:r>
              <w:rPr>
                <w:rFonts w:hint="eastAsia"/>
                <w:b/>
                <w:bCs/>
                <w:kern w:val="0"/>
                <w:szCs w:val="21"/>
              </w:rPr>
              <w:t>≥2个</w:t>
            </w:r>
            <w:r>
              <w:rPr>
                <w:rFonts w:hint="eastAsia"/>
                <w:b/>
                <w:bCs/>
                <w:color w:val="000000"/>
                <w:kern w:val="0"/>
                <w:szCs w:val="21"/>
              </w:rPr>
              <w:t>）</w:t>
            </w:r>
            <w:r>
              <w:rPr>
                <w:rFonts w:hint="eastAsia"/>
                <w:color w:val="000000"/>
                <w:kern w:val="0"/>
                <w:szCs w:val="21"/>
              </w:rPr>
              <w:t>：</w:t>
            </w:r>
          </w:p>
          <w:p>
            <w:pPr>
              <w:spacing w:line="360" w:lineRule="auto"/>
              <w:rPr>
                <w:rFonts w:hint="eastAsia"/>
                <w:kern w:val="0"/>
                <w:sz w:val="20"/>
                <w:szCs w:val="20"/>
              </w:rPr>
            </w:pPr>
            <w:r>
              <w:rPr>
                <w:rFonts w:hint="eastAsia"/>
                <w:kern w:val="0"/>
                <w:sz w:val="20"/>
                <w:szCs w:val="20"/>
              </w:rPr>
              <w:t>1、置于防撞车顶部或后部，为可移动设置装置，主机内设电磁波雷达，雷达频率≧77GHz，可扫描500m范围，可实时捕捉防撞车所在车道并距防撞车上游200m范围的车辆，并实时跟踪检测和分析后方车辆的危险性，若有车辆进入其所在车道并距防撞车上游100m范围且速度大于60Km/h或S型行驶时，主机即主动向后方来车发出定向声波预警，提醒上游车辆注意安全，变道或减速行驶；</w:t>
            </w:r>
          </w:p>
          <w:p>
            <w:pPr>
              <w:spacing w:line="360" w:lineRule="auto"/>
              <w:rPr>
                <w:rFonts w:hint="eastAsia"/>
                <w:kern w:val="0"/>
                <w:sz w:val="20"/>
                <w:szCs w:val="20"/>
              </w:rPr>
            </w:pPr>
            <w:r>
              <w:rPr>
                <w:rFonts w:hint="eastAsia"/>
                <w:kern w:val="0"/>
                <w:sz w:val="20"/>
                <w:szCs w:val="20"/>
              </w:rPr>
              <w:t>2、当其变道行驶或减速至60Km/h以下时，系统则自动关闭预警声波；如车辆未变道且未减速行驶，主机即持续向来车释放定向声波预警。当有车辆驶入防撞车所在车道并距防撞车上游50m范围且速度大于20Km/h时，主机即向后方来车发出增强定向声波预警，提醒其变道行驶或采取制动措施，同时向防撞车驾驶员或作业现场人员发出预警信号，启动智能手环报警，实时避让，若后方车辆减速至20Km/h以内或停车、变道，系统主机则自动关闭、同时智能手环关闭；</w:t>
            </w:r>
          </w:p>
          <w:p>
            <w:pPr>
              <w:spacing w:line="360" w:lineRule="auto"/>
              <w:jc w:val="left"/>
              <w:rPr>
                <w:rFonts w:hint="eastAsia"/>
                <w:color w:val="000000"/>
                <w:kern w:val="0"/>
                <w:szCs w:val="21"/>
              </w:rPr>
            </w:pPr>
            <w:r>
              <w:rPr>
                <w:rFonts w:hint="eastAsia"/>
                <w:kern w:val="0"/>
                <w:sz w:val="20"/>
                <w:szCs w:val="20"/>
              </w:rPr>
              <w:t>3、该装置发射定向声波，对防撞车周边噪音污染小，不影响施工作业人员。</w:t>
            </w:r>
          </w:p>
        </w:tc>
        <w:tc>
          <w:tcPr>
            <w:tcW w:w="1096" w:type="dxa"/>
            <w:shd w:val="clear" w:color="auto" w:fill="auto"/>
            <w:noWrap w:val="0"/>
            <w:vAlign w:val="center"/>
          </w:tcPr>
          <w:p>
            <w:pPr>
              <w:jc w:val="center"/>
              <w:rPr>
                <w:kern w:val="0"/>
                <w:szCs w:val="21"/>
              </w:rPr>
            </w:pPr>
            <w:r>
              <w:rPr>
                <w:rFonts w:hint="eastAsia"/>
                <w:kern w:val="0"/>
                <w:szCs w:val="21"/>
              </w:rPr>
              <w:t>3</w:t>
            </w:r>
          </w:p>
        </w:tc>
        <w:tc>
          <w:tcPr>
            <w:tcW w:w="876" w:type="dxa"/>
            <w:shd w:val="clear" w:color="auto" w:fill="auto"/>
            <w:noWrap w:val="0"/>
            <w:vAlign w:val="center"/>
          </w:tcPr>
          <w:p>
            <w:pPr>
              <w:jc w:val="center"/>
              <w:rPr>
                <w:kern w:val="0"/>
                <w:szCs w:val="21"/>
              </w:rPr>
            </w:pPr>
            <w:r>
              <w:rPr>
                <w:rFonts w:hint="eastAsia"/>
                <w:kern w:val="0"/>
                <w:szCs w:val="21"/>
              </w:rPr>
              <w:t>20</w:t>
            </w:r>
          </w:p>
        </w:tc>
        <w:tc>
          <w:tcPr>
            <w:tcW w:w="900" w:type="dxa"/>
            <w:shd w:val="clear" w:color="auto" w:fill="auto"/>
            <w:noWrap w:val="0"/>
            <w:vAlign w:val="center"/>
          </w:tcPr>
          <w:p>
            <w:pPr>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shd w:val="clear" w:color="auto" w:fill="auto"/>
            <w:noWrap w:val="0"/>
            <w:vAlign w:val="center"/>
          </w:tcPr>
          <w:p>
            <w:pPr>
              <w:jc w:val="center"/>
              <w:rPr>
                <w:rFonts w:hint="eastAsia"/>
                <w:kern w:val="0"/>
                <w:szCs w:val="21"/>
              </w:rPr>
            </w:pPr>
            <w:r>
              <w:rPr>
                <w:rFonts w:hint="eastAsia"/>
                <w:kern w:val="0"/>
                <w:szCs w:val="21"/>
              </w:rPr>
              <w:t>2</w:t>
            </w:r>
          </w:p>
        </w:tc>
        <w:tc>
          <w:tcPr>
            <w:tcW w:w="1114" w:type="dxa"/>
            <w:shd w:val="clear" w:color="auto" w:fill="auto"/>
            <w:noWrap w:val="0"/>
            <w:vAlign w:val="center"/>
          </w:tcPr>
          <w:p>
            <w:pPr>
              <w:jc w:val="center"/>
              <w:rPr>
                <w:kern w:val="0"/>
                <w:szCs w:val="21"/>
              </w:rPr>
            </w:pPr>
            <w:r>
              <w:rPr>
                <w:kern w:val="0"/>
                <w:szCs w:val="21"/>
              </w:rPr>
              <w:t>推雪铲</w:t>
            </w:r>
          </w:p>
        </w:tc>
        <w:tc>
          <w:tcPr>
            <w:tcW w:w="4524" w:type="dxa"/>
            <w:shd w:val="clear" w:color="auto" w:fill="auto"/>
            <w:noWrap w:val="0"/>
            <w:vAlign w:val="center"/>
          </w:tcPr>
          <w:p>
            <w:pPr>
              <w:spacing w:line="420" w:lineRule="exact"/>
              <w:jc w:val="left"/>
              <w:rPr>
                <w:kern w:val="0"/>
                <w:szCs w:val="21"/>
              </w:rPr>
            </w:pPr>
            <w:r>
              <w:rPr>
                <w:kern w:val="0"/>
                <w:szCs w:val="21"/>
              </w:rPr>
              <w:t>1、操作者能在驾驶室内完成推雪铲的操作，工作装置与主机的连接和装配方便快捷。</w:t>
            </w:r>
          </w:p>
          <w:p>
            <w:pPr>
              <w:spacing w:line="420" w:lineRule="exact"/>
              <w:jc w:val="left"/>
              <w:rPr>
                <w:kern w:val="0"/>
                <w:szCs w:val="21"/>
              </w:rPr>
            </w:pPr>
            <w:r>
              <w:rPr>
                <w:kern w:val="0"/>
                <w:szCs w:val="21"/>
              </w:rPr>
              <w:t>*2、</w:t>
            </w:r>
            <w:r>
              <w:rPr>
                <w:kern w:val="0"/>
                <w:szCs w:val="21"/>
                <w:lang w:bidi="ar"/>
              </w:rPr>
              <w:t>推雪板宽度≥3米，高度≥1米，重量 ≥ 900Kg，作业速度30-60Km/h；</w:t>
            </w:r>
          </w:p>
          <w:p>
            <w:pPr>
              <w:spacing w:line="420" w:lineRule="exact"/>
              <w:jc w:val="left"/>
              <w:rPr>
                <w:kern w:val="0"/>
                <w:szCs w:val="21"/>
              </w:rPr>
            </w:pPr>
            <w:r>
              <w:rPr>
                <w:kern w:val="0"/>
                <w:szCs w:val="21"/>
              </w:rPr>
              <w:t>*3、重量 ≥ 1000Kg；</w:t>
            </w:r>
          </w:p>
          <w:p>
            <w:pPr>
              <w:spacing w:line="420" w:lineRule="exact"/>
              <w:jc w:val="left"/>
              <w:rPr>
                <w:kern w:val="0"/>
                <w:szCs w:val="21"/>
              </w:rPr>
            </w:pPr>
            <w:r>
              <w:rPr>
                <w:kern w:val="0"/>
                <w:szCs w:val="21"/>
              </w:rPr>
              <w:t>4、推雪铲刃更换、拆装方便和快捷，铲刃耐磨性好；</w:t>
            </w:r>
          </w:p>
          <w:p>
            <w:pPr>
              <w:spacing w:line="420" w:lineRule="exact"/>
              <w:jc w:val="left"/>
              <w:rPr>
                <w:kern w:val="0"/>
                <w:szCs w:val="21"/>
              </w:rPr>
            </w:pPr>
            <w:r>
              <w:rPr>
                <w:kern w:val="0"/>
                <w:szCs w:val="21"/>
              </w:rPr>
              <w:t>5、</w:t>
            </w:r>
            <w:r>
              <w:rPr>
                <w:rFonts w:hint="eastAsia" w:ascii="宋体" w:hAnsi="宋体" w:cs="宋体"/>
                <w:color w:val="000000"/>
                <w:kern w:val="0"/>
                <w:sz w:val="20"/>
                <w:szCs w:val="20"/>
                <w:lang w:bidi="ar"/>
              </w:rPr>
              <w:t>推雪板的上下高度、左右偏转采用液压缸调节，左右偏转角度≥30°</w:t>
            </w:r>
            <w:r>
              <w:rPr>
                <w:kern w:val="0"/>
                <w:szCs w:val="21"/>
              </w:rPr>
              <w:t>；</w:t>
            </w:r>
          </w:p>
          <w:p>
            <w:pPr>
              <w:widowControl/>
              <w:spacing w:line="320" w:lineRule="exact"/>
              <w:jc w:val="left"/>
              <w:textAlignment w:val="center"/>
              <w:rPr>
                <w:rFonts w:hint="eastAsia" w:ascii="宋体" w:hAnsi="宋体" w:cs="宋体"/>
                <w:color w:val="000000"/>
                <w:kern w:val="0"/>
                <w:sz w:val="20"/>
                <w:szCs w:val="20"/>
                <w:lang w:bidi="ar"/>
              </w:rPr>
            </w:pPr>
            <w:r>
              <w:rPr>
                <w:kern w:val="0"/>
                <w:szCs w:val="21"/>
              </w:rPr>
              <w:t>6、</w:t>
            </w:r>
            <w:r>
              <w:rPr>
                <w:rFonts w:hint="eastAsia" w:ascii="宋体" w:hAnsi="宋体" w:cs="宋体"/>
                <w:color w:val="000000"/>
                <w:kern w:val="0"/>
                <w:sz w:val="20"/>
                <w:szCs w:val="20"/>
                <w:lang w:bidi="ar"/>
              </w:rPr>
              <w:t>推雪板应具设有可调式液压缸限位机构，保证在不平坦地面上保持悬浮状态，始终紧贴地面；</w:t>
            </w:r>
          </w:p>
          <w:p>
            <w:pPr>
              <w:spacing w:line="420" w:lineRule="exact"/>
              <w:jc w:val="left"/>
              <w:rPr>
                <w:kern w:val="0"/>
                <w:szCs w:val="21"/>
              </w:rPr>
            </w:pPr>
            <w:r>
              <w:rPr>
                <w:kern w:val="0"/>
                <w:szCs w:val="21"/>
              </w:rPr>
              <w:t>7、推雪板在运输状态具有双重保险（液压及机械），可以保证运输时的安全性；</w:t>
            </w:r>
          </w:p>
          <w:p>
            <w:pPr>
              <w:spacing w:line="420" w:lineRule="exact"/>
              <w:jc w:val="left"/>
              <w:rPr>
                <w:kern w:val="0"/>
                <w:szCs w:val="21"/>
              </w:rPr>
            </w:pPr>
            <w:r>
              <w:rPr>
                <w:kern w:val="0"/>
                <w:szCs w:val="21"/>
              </w:rPr>
              <w:t>8、动力源：独立液压动力单元；</w:t>
            </w:r>
          </w:p>
          <w:p>
            <w:pPr>
              <w:spacing w:line="420" w:lineRule="exact"/>
              <w:jc w:val="left"/>
              <w:rPr>
                <w:kern w:val="0"/>
                <w:szCs w:val="21"/>
              </w:rPr>
            </w:pPr>
            <w:r>
              <w:rPr>
                <w:kern w:val="0"/>
                <w:szCs w:val="21"/>
              </w:rPr>
              <w:t>*9、</w:t>
            </w:r>
            <w:r>
              <w:rPr>
                <w:kern w:val="0"/>
                <w:szCs w:val="21"/>
                <w:lang w:bidi="ar"/>
              </w:rPr>
              <w:t>具备三级分体翻转避让功能，且含有不少于6个压缩弹簧，当铲刃遇到道钉、减速凸棱、接缝、异物阻碍时，铲刃能在外力作用下自动翻起，翻起力大小可调，最大越障高度≥260mm</w:t>
            </w:r>
            <w:r>
              <w:rPr>
                <w:kern w:val="0"/>
                <w:szCs w:val="21"/>
              </w:rPr>
              <w:t>；</w:t>
            </w:r>
          </w:p>
          <w:p>
            <w:pPr>
              <w:spacing w:line="420" w:lineRule="exact"/>
              <w:jc w:val="left"/>
              <w:rPr>
                <w:kern w:val="0"/>
                <w:szCs w:val="21"/>
              </w:rPr>
            </w:pPr>
            <w:r>
              <w:rPr>
                <w:kern w:val="0"/>
                <w:szCs w:val="21"/>
              </w:rPr>
              <w:t>10、安全装置：有安全警示标志、指示灯</w:t>
            </w:r>
            <w:r>
              <w:rPr>
                <w:rFonts w:hint="eastAsia"/>
                <w:kern w:val="0"/>
                <w:szCs w:val="21"/>
              </w:rPr>
              <w:t>。</w:t>
            </w:r>
          </w:p>
        </w:tc>
        <w:tc>
          <w:tcPr>
            <w:tcW w:w="1096" w:type="dxa"/>
            <w:shd w:val="clear" w:color="auto" w:fill="auto"/>
            <w:noWrap w:val="0"/>
            <w:vAlign w:val="center"/>
          </w:tcPr>
          <w:p>
            <w:pPr>
              <w:jc w:val="center"/>
              <w:rPr>
                <w:rFonts w:hint="eastAsia"/>
                <w:kern w:val="0"/>
                <w:szCs w:val="21"/>
              </w:rPr>
            </w:pPr>
            <w:r>
              <w:rPr>
                <w:rFonts w:hint="eastAsia"/>
                <w:kern w:val="0"/>
                <w:szCs w:val="21"/>
              </w:rPr>
              <w:t>4</w:t>
            </w:r>
          </w:p>
        </w:tc>
        <w:tc>
          <w:tcPr>
            <w:tcW w:w="876" w:type="dxa"/>
            <w:shd w:val="clear" w:color="auto" w:fill="auto"/>
            <w:noWrap w:val="0"/>
            <w:vAlign w:val="center"/>
          </w:tcPr>
          <w:p>
            <w:pPr>
              <w:jc w:val="center"/>
              <w:rPr>
                <w:kern w:val="0"/>
                <w:szCs w:val="21"/>
              </w:rPr>
            </w:pPr>
            <w:r>
              <w:rPr>
                <w:rFonts w:hint="eastAsia"/>
                <w:kern w:val="0"/>
                <w:szCs w:val="21"/>
              </w:rPr>
              <w:t>50</w:t>
            </w:r>
          </w:p>
        </w:tc>
        <w:tc>
          <w:tcPr>
            <w:tcW w:w="900" w:type="dxa"/>
            <w:shd w:val="clear" w:color="auto" w:fill="auto"/>
            <w:noWrap w:val="0"/>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shd w:val="clear" w:color="auto" w:fill="auto"/>
            <w:noWrap w:val="0"/>
            <w:vAlign w:val="center"/>
          </w:tcPr>
          <w:p>
            <w:pPr>
              <w:spacing w:line="420" w:lineRule="exact"/>
              <w:jc w:val="left"/>
              <w:rPr>
                <w:rFonts w:hint="eastAsia"/>
                <w:kern w:val="0"/>
                <w:szCs w:val="21"/>
              </w:rPr>
            </w:pPr>
            <w:r>
              <w:rPr>
                <w:rFonts w:hint="eastAsia"/>
                <w:kern w:val="0"/>
                <w:szCs w:val="21"/>
              </w:rPr>
              <w:t>3</w:t>
            </w:r>
          </w:p>
        </w:tc>
        <w:tc>
          <w:tcPr>
            <w:tcW w:w="1114" w:type="dxa"/>
            <w:shd w:val="clear" w:color="auto" w:fill="auto"/>
            <w:noWrap w:val="0"/>
            <w:vAlign w:val="center"/>
          </w:tcPr>
          <w:p>
            <w:pPr>
              <w:spacing w:line="420" w:lineRule="exact"/>
              <w:jc w:val="left"/>
              <w:rPr>
                <w:kern w:val="0"/>
                <w:szCs w:val="21"/>
              </w:rPr>
            </w:pPr>
            <w:r>
              <w:rPr>
                <w:kern w:val="0"/>
                <w:szCs w:val="21"/>
              </w:rPr>
              <w:t>撒布机</w:t>
            </w:r>
          </w:p>
        </w:tc>
        <w:tc>
          <w:tcPr>
            <w:tcW w:w="4524" w:type="dxa"/>
            <w:shd w:val="clear" w:color="auto" w:fill="auto"/>
            <w:noWrap w:val="0"/>
            <w:vAlign w:val="center"/>
          </w:tcPr>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*1、料仓容积：≥10m3，发动机输出功率≥7kw；</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2、仓体：仓体内外进行防腐处理（或不锈钢制造），橘黄色外漆；</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3、传送链条、撒布盘、下料斗等零部件应采用不锈钢制造，三级防腐处理；</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4、料仓上部安装有防护盖；</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5、料仓上部安装有过滤筛，能防止杂物及大体积受潮、板结物料进入料仓；</w:t>
            </w:r>
          </w:p>
          <w:p>
            <w:pPr>
              <w:widowControl/>
              <w:spacing w:line="320" w:lineRule="exact"/>
              <w:jc w:val="left"/>
              <w:textAlignment w:val="center"/>
              <w:rPr>
                <w:rFonts w:hint="eastAsia" w:ascii="宋体" w:hAnsi="宋体" w:cs="宋体"/>
                <w:color w:val="000000"/>
                <w:kern w:val="0"/>
                <w:sz w:val="20"/>
                <w:szCs w:val="20"/>
                <w:lang w:bidi="ar"/>
              </w:rPr>
            </w:pPr>
            <w:r>
              <w:rPr>
                <w:sz w:val="20"/>
                <w:szCs w:val="20"/>
              </w:rPr>
              <w:t>*</w:t>
            </w:r>
            <w:r>
              <w:rPr>
                <w:rFonts w:hint="eastAsia" w:ascii="宋体" w:hAnsi="宋体" w:cs="宋体"/>
                <w:color w:val="000000"/>
                <w:kern w:val="0"/>
                <w:sz w:val="20"/>
                <w:szCs w:val="20"/>
                <w:lang w:bidi="ar"/>
              </w:rPr>
              <w:t>6、撒布宽度：≥3-12米，撒盘直径≥450mm，具有撒布偏转结构，可左右不对称撒布，适应不同道路情况，撒布速度≥30km/h；</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7、撒布量：撒布量可调节（20～150g/m2）；物料输送系统应不卡料，输送顺畅，（刮板、螺旋）并具有应急手动操作功能；</w:t>
            </w:r>
          </w:p>
          <w:p>
            <w:pPr>
              <w:widowControl/>
              <w:spacing w:line="320" w:lineRule="exact"/>
              <w:jc w:val="left"/>
              <w:textAlignment w:val="center"/>
              <w:rPr>
                <w:rFonts w:hint="eastAsia" w:ascii="宋体" w:hAnsi="宋体" w:cs="宋体"/>
                <w:color w:val="000000"/>
                <w:kern w:val="0"/>
                <w:sz w:val="20"/>
                <w:szCs w:val="20"/>
                <w:lang w:bidi="ar"/>
              </w:rPr>
            </w:pPr>
            <w:r>
              <w:rPr>
                <w:sz w:val="20"/>
                <w:szCs w:val="20"/>
              </w:rPr>
              <w:t>*</w:t>
            </w:r>
            <w:r>
              <w:rPr>
                <w:rFonts w:hint="eastAsia" w:ascii="宋体" w:hAnsi="宋体" w:cs="宋体"/>
                <w:color w:val="000000"/>
                <w:kern w:val="0"/>
                <w:sz w:val="20"/>
                <w:szCs w:val="20"/>
                <w:lang w:bidi="ar"/>
              </w:rPr>
              <w:t>8、撒布播盘和出料槽可方便的翻转，具有余料排清功能；</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9、独立的动力系统，发动机燃油为柴油（部分厂家与底盘共享动力）；</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10、撒布量、宽度、均可在驾驶室内完成，配备视频系统对撒布工作进行监控；</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11、撒布机安放有专用的支撑系统，固定车厢采用可伸缩钢管支撑厢底和上部锁链固定；</w:t>
            </w:r>
          </w:p>
          <w:p>
            <w:pPr>
              <w:widowControl/>
              <w:spacing w:line="32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12、安全装置：佩有照明装置、前后均有警示装置；</w:t>
            </w:r>
          </w:p>
          <w:p>
            <w:pPr>
              <w:widowControl/>
              <w:spacing w:line="320" w:lineRule="exact"/>
              <w:jc w:val="left"/>
              <w:textAlignment w:val="center"/>
              <w:rPr>
                <w:kern w:val="0"/>
                <w:szCs w:val="21"/>
              </w:rPr>
            </w:pPr>
            <w:r>
              <w:rPr>
                <w:rFonts w:hint="eastAsia" w:ascii="宋体" w:hAnsi="宋体" w:cs="宋体"/>
                <w:color w:val="000000"/>
                <w:kern w:val="0"/>
                <w:sz w:val="20"/>
                <w:szCs w:val="20"/>
                <w:lang w:bidi="ar"/>
              </w:rPr>
              <w:t>13、配备品牌液压泵、控制阀等其他主要液压件。</w:t>
            </w:r>
          </w:p>
        </w:tc>
        <w:tc>
          <w:tcPr>
            <w:tcW w:w="1096" w:type="dxa"/>
            <w:shd w:val="clear" w:color="auto" w:fill="auto"/>
            <w:noWrap w:val="0"/>
            <w:vAlign w:val="center"/>
          </w:tcPr>
          <w:p>
            <w:pPr>
              <w:jc w:val="center"/>
              <w:rPr>
                <w:rFonts w:hint="eastAsia"/>
                <w:kern w:val="0"/>
                <w:szCs w:val="21"/>
              </w:rPr>
            </w:pPr>
            <w:r>
              <w:rPr>
                <w:rFonts w:hint="eastAsia"/>
                <w:kern w:val="0"/>
                <w:szCs w:val="21"/>
              </w:rPr>
              <w:t>4</w:t>
            </w:r>
          </w:p>
        </w:tc>
        <w:tc>
          <w:tcPr>
            <w:tcW w:w="876" w:type="dxa"/>
            <w:shd w:val="clear" w:color="auto" w:fill="auto"/>
            <w:noWrap w:val="0"/>
            <w:vAlign w:val="center"/>
          </w:tcPr>
          <w:p>
            <w:pPr>
              <w:jc w:val="center"/>
              <w:rPr>
                <w:kern w:val="0"/>
                <w:szCs w:val="21"/>
              </w:rPr>
            </w:pPr>
            <w:r>
              <w:rPr>
                <w:rFonts w:hint="eastAsia"/>
                <w:kern w:val="0"/>
                <w:szCs w:val="21"/>
              </w:rPr>
              <w:t>50</w:t>
            </w:r>
          </w:p>
        </w:tc>
        <w:tc>
          <w:tcPr>
            <w:tcW w:w="900" w:type="dxa"/>
            <w:shd w:val="clear" w:color="auto" w:fill="auto"/>
            <w:noWrap w:val="0"/>
            <w:vAlign w:val="center"/>
          </w:tcPr>
          <w:p>
            <w:pPr>
              <w:jc w:val="center"/>
              <w:rPr>
                <w:kern w:val="0"/>
                <w:szCs w:val="21"/>
              </w:rPr>
            </w:pPr>
          </w:p>
        </w:tc>
      </w:tr>
    </w:tbl>
    <w:p>
      <w:pPr>
        <w:spacing w:line="420" w:lineRule="exact"/>
        <w:jc w:val="left"/>
        <w:rPr>
          <w:kern w:val="0"/>
          <w:szCs w:val="21"/>
        </w:rPr>
      </w:pPr>
      <w:r>
        <w:rPr>
          <w:rFonts w:hint="eastAsia"/>
          <w:kern w:val="0"/>
          <w:szCs w:val="21"/>
        </w:rPr>
        <w:t>注</w:t>
      </w:r>
      <w:r>
        <w:rPr>
          <w:kern w:val="0"/>
          <w:szCs w:val="21"/>
        </w:rPr>
        <w:t>：</w:t>
      </w:r>
    </w:p>
    <w:p>
      <w:pPr>
        <w:pStyle w:val="8"/>
        <w:numPr>
          <w:ilvl w:val="0"/>
          <w:numId w:val="1"/>
        </w:numPr>
        <w:spacing w:line="400" w:lineRule="exact"/>
        <w:ind w:firstLineChars="0"/>
        <w:jc w:val="left"/>
        <w:rPr>
          <w:kern w:val="0"/>
          <w:szCs w:val="21"/>
        </w:rPr>
      </w:pPr>
      <w:r>
        <w:rPr>
          <w:rFonts w:hint="eastAsia"/>
          <w:kern w:val="0"/>
          <w:szCs w:val="21"/>
        </w:rPr>
        <w:t>提供完整的操作手册、液压图（如有）、电路图（如有）等相关技术文件。</w:t>
      </w:r>
    </w:p>
    <w:p>
      <w:pPr>
        <w:pStyle w:val="8"/>
        <w:numPr>
          <w:ilvl w:val="0"/>
          <w:numId w:val="1"/>
        </w:numPr>
        <w:spacing w:line="400" w:lineRule="exact"/>
        <w:ind w:firstLineChars="0"/>
        <w:jc w:val="left"/>
        <w:rPr>
          <w:rFonts w:hint="eastAsia"/>
          <w:kern w:val="0"/>
          <w:szCs w:val="21"/>
        </w:rPr>
      </w:pPr>
      <w:r>
        <w:rPr>
          <w:rFonts w:hint="eastAsia"/>
          <w:kern w:val="0"/>
          <w:szCs w:val="21"/>
        </w:rPr>
        <w:t>根据招标人要求，为上述供货设备喷涂统一颜色和标识。</w:t>
      </w:r>
    </w:p>
    <w:p>
      <w:pPr>
        <w:pStyle w:val="8"/>
        <w:numPr>
          <w:ilvl w:val="0"/>
          <w:numId w:val="1"/>
        </w:numPr>
        <w:spacing w:line="400" w:lineRule="exact"/>
        <w:ind w:firstLineChars="0"/>
        <w:jc w:val="left"/>
        <w:sectPr>
          <w:pgSz w:w="11906" w:h="16838" w:orient="landscape"/>
          <w:pgMar w:top="1247" w:right="1134" w:bottom="1134" w:left="1247" w:header="999" w:footer="992" w:gutter="0"/>
          <w:cols w:space="720" w:num="1"/>
          <w:docGrid w:type="lines" w:linePitch="312" w:charSpace="0"/>
        </w:sectPr>
      </w:pPr>
      <w:r>
        <w:rPr>
          <w:rFonts w:hint="eastAsia"/>
          <w:b/>
          <w:bCs/>
        </w:rPr>
        <w:t>投标人应按上表技术参数（技术性能指标）以及拟供车辆（货物）实际情况填写投标文件格式：六-技术参数偏离表，</w:t>
      </w:r>
      <w:r>
        <w:rPr>
          <w:rFonts w:hint="eastAsia"/>
          <w:b/>
          <w:bCs/>
          <w:u w:val="single"/>
        </w:rPr>
        <w:t>若拟供车辆（货物）低于上述带*技术参数（技术性能指标）视为未响应招标文件要求，其投标应当被否决</w:t>
      </w:r>
      <w:r>
        <w:rPr>
          <w:rFonts w:hint="eastAsi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7B102"/>
    <w:multiLevelType w:val="singleLevel"/>
    <w:tmpl w:val="ACE7B10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2DE14CD6"/>
    <w:rsid w:val="00680F7E"/>
    <w:rsid w:val="016E0D36"/>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AFD0922"/>
    <w:rsid w:val="1BCF65F9"/>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E14CD6"/>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utoSpaceDE/>
      <w:autoSpaceDN/>
      <w:spacing w:line="240" w:lineRule="auto"/>
      <w:ind w:firstLine="420" w:firstLineChars="100"/>
      <w:textAlignment w:val="auto"/>
    </w:pPr>
    <w:rPr>
      <w:rFonts w:ascii="Calibri" w:hAnsi="Calibri" w:cs="Calibri"/>
      <w:snapToGrid/>
      <w:kern w:val="2"/>
      <w:sz w:val="21"/>
      <w:szCs w:val="21"/>
    </w:rPr>
  </w:style>
  <w:style w:type="paragraph" w:styleId="3">
    <w:name w:val="Body Text"/>
    <w:basedOn w:val="1"/>
    <w:qFormat/>
    <w:uiPriority w:val="0"/>
    <w:pPr>
      <w:spacing w:after="120" w:afterLines="0"/>
    </w:pPr>
  </w:style>
  <w:style w:type="paragraph" w:styleId="4">
    <w:name w:val="Body Text Indent"/>
    <w:basedOn w:val="1"/>
    <w:next w:val="1"/>
    <w:qFormat/>
    <w:uiPriority w:val="99"/>
    <w:pPr>
      <w:spacing w:after="120" w:afterLines="0"/>
      <w:ind w:left="420" w:leftChars="200"/>
    </w:pPr>
    <w:rPr>
      <w:szCs w:val="24"/>
    </w:rPr>
  </w:style>
  <w:style w:type="paragraph" w:styleId="5">
    <w:name w:val="Body Text First Indent 2"/>
    <w:basedOn w:val="4"/>
    <w:next w:val="1"/>
    <w:qFormat/>
    <w:uiPriority w:val="0"/>
    <w:pPr>
      <w:ind w:firstLine="420" w:firstLineChars="200"/>
    </w:pPr>
    <w:rPr>
      <w:rFonts w:ascii="Times New Roman" w:hAnsi="Times New Roman" w:eastAsia="宋体" w:cs="Times New Roman"/>
      <w:szCs w:val="24"/>
    </w:rPr>
  </w:style>
  <w:style w:type="paragraph" w:styleId="8">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2022-12-01T01:58:00Z</dcterms:created>
  <dc:creator>1</dc:creator>
  <cp:lastModifiedBy>1</cp:lastModifiedBy>
  <dcterms:modified xsi:type="dcterms:W3CDTF">2022-12-01T02:11:16Z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037D3A8DDA7243228F4E43876A24AD95</vt:lpwstr>
  </property>
</Properties>
</file>