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szCs w:val="28"/>
        </w:rPr>
      </w:pPr>
      <w:bookmarkStart w:id="0" w:name="_Toc5669"/>
      <w:bookmarkStart w:id="1" w:name="_Toc14937"/>
      <w:r>
        <w:rPr>
          <w:rFonts w:hint="eastAsia" w:ascii="宋体" w:hAnsi="宋体" w:eastAsia="宋体" w:cs="宋体"/>
        </w:rPr>
        <w:t>附 录：</w:t>
      </w:r>
      <w:bookmarkEnd w:id="0"/>
      <w:bookmarkEnd w:id="1"/>
    </w:p>
    <w:p>
      <w:pPr>
        <w:pStyle w:val="7"/>
        <w:rPr>
          <w:rFonts w:hint="eastAsia" w:ascii="宋体" w:hAnsi="宋体" w:eastAsia="宋体" w:cs="宋体"/>
          <w:iCs w:val="0"/>
        </w:rPr>
      </w:pPr>
      <w:bookmarkStart w:id="2" w:name="_Toc25298"/>
      <w:bookmarkStart w:id="3" w:name="_Toc14185"/>
      <w:bookmarkStart w:id="4" w:name="_Toc14816"/>
      <w:bookmarkStart w:id="5" w:name="_Toc29598"/>
      <w:bookmarkStart w:id="6" w:name="_Toc533720421"/>
      <w:bookmarkStart w:id="7" w:name="_Toc531859200"/>
      <w:r>
        <w:rPr>
          <w:rFonts w:hint="eastAsia" w:ascii="宋体" w:hAnsi="宋体" w:eastAsia="宋体" w:cs="宋体"/>
          <w:iCs w:val="0"/>
        </w:rPr>
        <w:t>附录1  资格审查条件(资质最低要求)</w:t>
      </w:r>
      <w:bookmarkEnd w:id="2"/>
      <w:bookmarkEnd w:id="3"/>
      <w:bookmarkEnd w:id="4"/>
      <w:bookmarkEnd w:id="5"/>
      <w:bookmarkEnd w:id="6"/>
      <w:bookmarkEnd w:id="7"/>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040" w:type="dxa"/>
            <w:noWrap w:val="0"/>
            <w:vAlign w:val="center"/>
          </w:tcPr>
          <w:p>
            <w:pPr>
              <w:jc w:val="center"/>
              <w:rPr>
                <w:rFonts w:ascii="宋体" w:hAnsi="宋体" w:cs="宋体"/>
                <w:bCs/>
              </w:rPr>
            </w:pPr>
            <w:r>
              <w:rPr>
                <w:rFonts w:ascii="宋体" w:hAnsi="宋体" w:cs="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9040" w:type="dxa"/>
            <w:noWrap w:val="0"/>
            <w:vAlign w:val="center"/>
          </w:tcPr>
          <w:p>
            <w:pPr>
              <w:spacing w:line="360" w:lineRule="auto"/>
            </w:pPr>
            <w:r>
              <w:t>须同时具备：</w:t>
            </w:r>
          </w:p>
          <w:p>
            <w:pPr>
              <w:spacing w:line="360" w:lineRule="auto"/>
            </w:pPr>
            <w:r>
              <w:t>①独立的法人资格，具备有效的营业执照；</w:t>
            </w:r>
          </w:p>
          <w:p>
            <w:pPr>
              <w:spacing w:line="360" w:lineRule="auto"/>
              <w:rPr>
                <w:rFonts w:ascii="Times New Roman" w:hAnsi="Times New Roman" w:eastAsia="宋体" w:cs="Times New Roman"/>
              </w:rPr>
            </w:pPr>
            <w:r>
              <w:rPr>
                <w:rFonts w:ascii="Times New Roman" w:hAnsi="Times New Roman" w:eastAsia="宋体" w:cs="Times New Roman"/>
              </w:rPr>
              <w:t>②持有有效的施工劳务企业资质；</w:t>
            </w:r>
          </w:p>
          <w:p>
            <w:pPr>
              <w:spacing w:line="360" w:lineRule="auto"/>
              <w:rPr>
                <w:rFonts w:ascii="Times New Roman" w:hAnsi="Times New Roman" w:eastAsia="宋体" w:cs="Times New Roman"/>
              </w:rPr>
            </w:pPr>
            <w:r>
              <w:rPr>
                <w:rFonts w:ascii="Times New Roman" w:hAnsi="Times New Roman" w:eastAsia="宋体" w:cs="Times New Roman"/>
              </w:rPr>
              <w:t>③持有有效的安全生产许可证；</w:t>
            </w:r>
          </w:p>
          <w:p>
            <w:pPr>
              <w:spacing w:line="360" w:lineRule="auto"/>
              <w:rPr>
                <w:rFonts w:ascii="宋体" w:hAnsi="宋体" w:cs="宋体"/>
              </w:rPr>
            </w:pPr>
            <w:r>
              <w:rPr>
                <w:rFonts w:hint="default" w:ascii="Times New Roman" w:hAnsi="Times New Roman" w:eastAsia="宋体" w:cs="Times New Roman"/>
              </w:rPr>
              <w:t>④</w:t>
            </w:r>
            <w:r>
              <w:rPr>
                <w:rFonts w:ascii="Times New Roman" w:hAnsi="Times New Roman" w:eastAsia="宋体" w:cs="Times New Roman"/>
              </w:rPr>
              <w:t>须</w:t>
            </w:r>
            <w:r>
              <w:rPr>
                <w:rFonts w:ascii="Times New Roman" w:hAnsi="Times New Roman" w:eastAsia="宋体" w:cs="Times New Roman"/>
                <w:highlight w:val="none"/>
              </w:rPr>
              <w:t>为湖北省高速公路实业开发有限公司协作单位资源库</w:t>
            </w:r>
            <w:r>
              <w:rPr>
                <w:rFonts w:hint="eastAsia" w:ascii="宋体" w:hAnsi="宋体" w:cs="宋体"/>
                <w:kern w:val="0"/>
                <w:szCs w:val="21"/>
                <w:highlight w:val="none"/>
              </w:rPr>
              <w:t>GK-1（日常小修保养）</w:t>
            </w:r>
            <w:r>
              <w:rPr>
                <w:rFonts w:hint="eastAsia" w:ascii="宋体" w:hAnsi="宋体" w:cs="宋体"/>
                <w:kern w:val="0"/>
                <w:szCs w:val="21"/>
                <w:highlight w:val="none"/>
                <w:lang w:eastAsia="zh-CN"/>
              </w:rPr>
              <w:t>、GK-2(路基、路面专项）</w:t>
            </w:r>
            <w:r>
              <w:rPr>
                <w:rFonts w:ascii="Times New Roman" w:hAnsi="Times New Roman" w:eastAsia="宋体" w:cs="Times New Roman"/>
                <w:highlight w:val="none"/>
              </w:rPr>
              <w:t>协作单位。</w:t>
            </w:r>
          </w:p>
        </w:tc>
      </w:tr>
    </w:tbl>
    <w:p>
      <w:pPr>
        <w:widowControl/>
        <w:jc w:val="left"/>
        <w:rPr>
          <w:rFonts w:hint="eastAsia" w:ascii="宋体" w:hAnsi="宋体" w:cs="宋体"/>
          <w:sz w:val="18"/>
          <w:szCs w:val="18"/>
        </w:rPr>
      </w:pPr>
      <w:r>
        <w:rPr>
          <w:rFonts w:hint="eastAsia" w:ascii="宋体" w:hAnsi="宋体" w:cs="宋体"/>
          <w:sz w:val="18"/>
          <w:szCs w:val="18"/>
        </w:rPr>
        <w:t>注：</w:t>
      </w:r>
      <w:r>
        <w:rPr>
          <w:rFonts w:hint="eastAsia" w:ascii="宋体" w:hAnsi="宋体" w:cs="宋体"/>
          <w:b/>
          <w:bCs/>
          <w:color w:val="FF0000"/>
          <w:sz w:val="21"/>
          <w:szCs w:val="21"/>
          <w:u w:val="single"/>
        </w:rPr>
        <w:t>提供营业执照、资质证书、安全生产许可证、入围通知书复印件或其他证明材料</w:t>
      </w:r>
      <w:r>
        <w:rPr>
          <w:rFonts w:hint="eastAsia" w:ascii="宋体" w:hAnsi="宋体" w:cs="宋体"/>
          <w:sz w:val="18"/>
          <w:szCs w:val="18"/>
        </w:rPr>
        <w:t>。</w:t>
      </w:r>
    </w:p>
    <w:p>
      <w:pPr>
        <w:pStyle w:val="7"/>
        <w:rPr>
          <w:rFonts w:hint="eastAsia" w:ascii="宋体" w:hAnsi="宋体" w:eastAsia="宋体" w:cs="宋体"/>
          <w:iCs w:val="0"/>
        </w:rPr>
        <w:sectPr>
          <w:footerReference r:id="rId5" w:type="default"/>
          <w:footerReference r:id="rId6" w:type="even"/>
          <w:footnotePr>
            <w:numFmt w:val="decimalEnclosedCircleChinese"/>
            <w:numRestart w:val="eachPage"/>
          </w:footnotePr>
          <w:pgSz w:w="11907" w:h="16840"/>
          <w:pgMar w:top="1417" w:right="1417" w:bottom="1417" w:left="1417" w:header="850" w:footer="850" w:gutter="0"/>
          <w:cols w:space="720" w:num="1"/>
          <w:docGrid w:linePitch="312" w:charSpace="0"/>
        </w:sectPr>
      </w:pPr>
      <w:bookmarkStart w:id="8" w:name="_Toc25022"/>
      <w:bookmarkStart w:id="9" w:name="_Toc531859203"/>
      <w:bookmarkStart w:id="10" w:name="_Toc30142"/>
      <w:bookmarkStart w:id="11" w:name="_Toc533720424"/>
      <w:bookmarkStart w:id="12" w:name="_Toc10241"/>
    </w:p>
    <w:p>
      <w:pPr>
        <w:pStyle w:val="7"/>
        <w:rPr>
          <w:rFonts w:hint="eastAsia" w:ascii="宋体" w:hAnsi="宋体" w:eastAsia="宋体" w:cs="宋体"/>
          <w:iCs w:val="0"/>
        </w:rPr>
      </w:pPr>
      <w:bookmarkStart w:id="13" w:name="_Toc12215"/>
      <w:r>
        <w:rPr>
          <w:rFonts w:hint="eastAsia" w:ascii="宋体" w:hAnsi="宋体" w:eastAsia="宋体" w:cs="宋体"/>
          <w:iCs w:val="0"/>
        </w:rPr>
        <w:t>附录2  资格审查条件(信誉最低要求)</w:t>
      </w:r>
      <w:bookmarkEnd w:id="8"/>
      <w:bookmarkEnd w:id="9"/>
      <w:bookmarkEnd w:id="10"/>
      <w:bookmarkEnd w:id="11"/>
      <w:bookmarkEnd w:id="12"/>
      <w:bookmarkEnd w:id="13"/>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9140" w:type="dxa"/>
            <w:noWrap w:val="0"/>
            <w:vAlign w:val="center"/>
          </w:tcPr>
          <w:p>
            <w:pPr>
              <w:adjustRightInd w:val="0"/>
              <w:snapToGrid w:val="0"/>
              <w:spacing w:line="400" w:lineRule="atLeast"/>
              <w:jc w:val="center"/>
              <w:rPr>
                <w:rFonts w:ascii="宋体" w:hAnsi="宋体" w:cs="宋体"/>
                <w:b/>
              </w:rPr>
            </w:pPr>
            <w:r>
              <w:rPr>
                <w:rFonts w:ascii="宋体" w:hAnsi="宋体" w:cs="宋体"/>
                <w:b/>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17" w:hRule="atLeast"/>
          <w:jc w:val="center"/>
        </w:trPr>
        <w:tc>
          <w:tcPr>
            <w:tcW w:w="9140" w:type="dxa"/>
            <w:noWrap w:val="0"/>
            <w:vAlign w:val="center"/>
          </w:tcPr>
          <w:p>
            <w:pPr>
              <w:spacing w:line="360" w:lineRule="auto"/>
              <w:rPr>
                <w:rFonts w:ascii="宋体" w:hAnsi="宋体" w:cs="宋体"/>
              </w:rPr>
            </w:pPr>
            <w:r>
              <w:rPr>
                <w:rFonts w:ascii="宋体" w:hAnsi="宋体" w:cs="宋体"/>
              </w:rPr>
              <w:t>投标人不得存在下列不良状况或不良信用记录：</w:t>
            </w:r>
          </w:p>
          <w:p>
            <w:pPr>
              <w:spacing w:line="360" w:lineRule="auto"/>
              <w:rPr>
                <w:rFonts w:ascii="宋体" w:hAnsi="宋体" w:eastAsia="宋体" w:cs="宋体"/>
              </w:rPr>
            </w:pPr>
            <w:r>
              <w:rPr>
                <w:rFonts w:ascii="宋体" w:hAnsi="宋体" w:eastAsia="宋体" w:cs="宋体"/>
              </w:rPr>
              <w:t>1.处于被责令停业、接管或清算、破产状态；</w:t>
            </w:r>
          </w:p>
          <w:p>
            <w:pPr>
              <w:spacing w:line="360" w:lineRule="auto"/>
              <w:rPr>
                <w:rFonts w:ascii="宋体" w:hAnsi="宋体" w:eastAsia="宋体" w:cs="宋体"/>
              </w:rPr>
            </w:pPr>
            <w:r>
              <w:rPr>
                <w:rFonts w:ascii="宋体" w:hAnsi="宋体" w:eastAsia="宋体" w:cs="宋体"/>
              </w:rPr>
              <w:t>2.处于被行业主管部门（如交通运输部或湖北省交通运输主管部门）作出禁止进入公路建设市场的处罚且处于有效期内；</w:t>
            </w:r>
          </w:p>
          <w:p>
            <w:pPr>
              <w:spacing w:line="360" w:lineRule="auto"/>
              <w:rPr>
                <w:rFonts w:ascii="宋体" w:hAnsi="宋体" w:eastAsia="宋体" w:cs="宋体"/>
              </w:rPr>
            </w:pPr>
            <w:r>
              <w:rPr>
                <w:rFonts w:ascii="宋体" w:hAnsi="宋体" w:eastAsia="宋体" w:cs="宋体"/>
              </w:rPr>
              <w:t>3.存在下列不良状况或不良信用记录：</w:t>
            </w:r>
          </w:p>
          <w:p>
            <w:pPr>
              <w:spacing w:line="360" w:lineRule="auto"/>
              <w:rPr>
                <w:rFonts w:ascii="宋体" w:hAnsi="宋体" w:eastAsia="宋体" w:cs="宋体"/>
              </w:rPr>
            </w:pPr>
            <w:r>
              <w:rPr>
                <w:rFonts w:ascii="宋体" w:hAnsi="宋体" w:eastAsia="宋体" w:cs="宋体"/>
              </w:rPr>
              <w:t>（1）在国家企业信用信息公示系统（http://www.gsxt.gov.cn/）中被列入严重违法失信企业名单的；</w:t>
            </w:r>
          </w:p>
          <w:p>
            <w:pPr>
              <w:spacing w:line="360" w:lineRule="auto"/>
              <w:rPr>
                <w:rFonts w:ascii="宋体" w:hAnsi="宋体" w:eastAsia="宋体" w:cs="宋体"/>
              </w:rPr>
            </w:pPr>
            <w:r>
              <w:rPr>
                <w:rFonts w:ascii="宋体" w:hAnsi="宋体" w:eastAsia="宋体" w:cs="宋体"/>
              </w:rPr>
              <w:t>（2）在“中国执行信息公开网”（http://zxgk.court.gov.cn/）中被列入失信被执行人名单；</w:t>
            </w:r>
          </w:p>
          <w:p>
            <w:pPr>
              <w:spacing w:line="360" w:lineRule="auto"/>
              <w:rPr>
                <w:rFonts w:ascii="宋体" w:hAnsi="宋体" w:eastAsia="宋体" w:cs="宋体"/>
              </w:rPr>
            </w:pPr>
            <w:r>
              <w:rPr>
                <w:rFonts w:ascii="宋体" w:hAnsi="宋体" w:eastAsia="宋体" w:cs="宋体"/>
              </w:rPr>
              <w:t>（3）投标人或其法定代表人、拟委任的现场负责人在近三年内有行贿犯罪行为的；</w:t>
            </w:r>
          </w:p>
          <w:p>
            <w:pPr>
              <w:spacing w:line="360" w:lineRule="auto"/>
              <w:rPr>
                <w:rFonts w:ascii="宋体" w:hAnsi="宋体" w:eastAsia="宋体" w:cs="宋体"/>
              </w:rPr>
            </w:pPr>
            <w:r>
              <w:rPr>
                <w:rFonts w:ascii="宋体" w:hAnsi="宋体" w:eastAsia="宋体" w:cs="宋体"/>
              </w:rPr>
              <w:t>（4）在“信用中国”网站（http://www.creditchina.gov.cn/）中被列为严重失信主体名单，且按联合惩戒要求禁止参与招投标的；</w:t>
            </w:r>
          </w:p>
          <w:p>
            <w:pPr>
              <w:spacing w:line="360" w:lineRule="auto"/>
              <w:rPr>
                <w:rFonts w:ascii="宋体" w:hAnsi="宋体" w:eastAsia="宋体" w:cs="宋体"/>
              </w:rPr>
            </w:pPr>
            <w:r>
              <w:rPr>
                <w:rFonts w:ascii="宋体" w:hAnsi="宋体" w:eastAsia="宋体" w:cs="宋体"/>
              </w:rPr>
              <w:t>（5）上一年度被列入湖北省高速公路实业开发有限公司考核不合格的协作单位；</w:t>
            </w:r>
          </w:p>
          <w:p>
            <w:pPr>
              <w:spacing w:line="360" w:lineRule="auto"/>
            </w:pPr>
            <w:r>
              <w:rPr>
                <w:rFonts w:ascii="宋体" w:hAnsi="宋体" w:eastAsia="宋体" w:cs="宋体"/>
              </w:rPr>
              <w:t>（6）近三年度被列入湖北省高速公路实业开发有限公司黑名单的协作单位。</w:t>
            </w:r>
          </w:p>
        </w:tc>
      </w:tr>
    </w:tbl>
    <w:p>
      <w:pPr>
        <w:widowControl/>
        <w:jc w:val="left"/>
        <w:rPr>
          <w:rFonts w:hint="eastAsia" w:ascii="宋体" w:hAnsi="宋体" w:cs="宋体"/>
          <w:sz w:val="18"/>
          <w:szCs w:val="18"/>
        </w:rPr>
      </w:pPr>
      <w:r>
        <w:rPr>
          <w:rFonts w:hint="eastAsia" w:ascii="宋体" w:hAnsi="宋体" w:cs="宋体"/>
          <w:sz w:val="18"/>
          <w:szCs w:val="18"/>
        </w:rPr>
        <w:t>注：</w:t>
      </w:r>
      <w:r>
        <w:rPr>
          <w:rFonts w:hint="eastAsia" w:ascii="宋体" w:hAnsi="宋体" w:cs="宋体"/>
          <w:color w:val="FF0000"/>
          <w:kern w:val="0"/>
          <w:sz w:val="18"/>
          <w:szCs w:val="18"/>
          <w:u w:val="single"/>
        </w:rPr>
        <w:t>投标人应按招标文件第八章“投标文件格式”相应内容、表格及下注说明的要求在其投标文件中填写相关内容、表格并在相应位置提供要求的证书、证明材料</w:t>
      </w:r>
      <w:r>
        <w:rPr>
          <w:rFonts w:hint="eastAsia" w:ascii="宋体" w:hAnsi="宋体" w:cs="宋体"/>
          <w:kern w:val="0"/>
          <w:sz w:val="18"/>
          <w:szCs w:val="18"/>
          <w:u w:val="single"/>
        </w:rPr>
        <w:t>。如未按要求填写或未按要求提供要求的证书、证明材料的或提供的证书、证明材料不满足要求或不足以证明其满足要求的，评标委员会在对其投标进行评审时将不予通过</w:t>
      </w:r>
      <w:r>
        <w:rPr>
          <w:rFonts w:hint="eastAsia" w:ascii="宋体" w:hAnsi="宋体" w:cs="宋体"/>
          <w:kern w:val="0"/>
          <w:sz w:val="18"/>
          <w:szCs w:val="18"/>
        </w:rPr>
        <w:t>。</w:t>
      </w:r>
    </w:p>
    <w:p>
      <w:pPr>
        <w:widowControl/>
        <w:ind w:firstLine="420"/>
        <w:jc w:val="left"/>
        <w:rPr>
          <w:rFonts w:hint="eastAsia" w:ascii="宋体" w:hAnsi="宋体" w:cs="宋体"/>
          <w:szCs w:val="21"/>
        </w:rPr>
      </w:pPr>
    </w:p>
    <w:p>
      <w:pPr>
        <w:pStyle w:val="2"/>
        <w:ind w:left="480" w:firstLine="480"/>
        <w:rPr>
          <w:rFonts w:hint="eastAsia" w:ascii="宋体" w:hAnsi="宋体" w:cs="宋体"/>
        </w:rPr>
      </w:pPr>
    </w:p>
    <w:p>
      <w:pPr>
        <w:widowControl/>
        <w:ind w:firstLine="420"/>
        <w:jc w:val="left"/>
        <w:rPr>
          <w:rFonts w:hint="eastAsia" w:ascii="宋体" w:hAnsi="宋体" w:cs="宋体"/>
          <w:szCs w:val="21"/>
        </w:rPr>
      </w:pPr>
    </w:p>
    <w:p>
      <w:pPr>
        <w:pStyle w:val="2"/>
        <w:ind w:left="480" w:firstLine="480"/>
        <w:rPr>
          <w:rFonts w:hint="eastAsia" w:ascii="宋体" w:hAnsi="宋体" w:cs="宋体"/>
        </w:rPr>
      </w:pPr>
    </w:p>
    <w:p>
      <w:pPr>
        <w:pStyle w:val="2"/>
        <w:ind w:left="480" w:firstLine="480"/>
        <w:rPr>
          <w:rFonts w:hint="eastAsia" w:ascii="宋体" w:hAnsi="宋体" w:cs="宋体"/>
        </w:rPr>
      </w:pPr>
    </w:p>
    <w:p>
      <w:pPr>
        <w:pStyle w:val="7"/>
        <w:rPr>
          <w:rFonts w:hint="eastAsia" w:ascii="宋体" w:hAnsi="宋体" w:eastAsia="宋体" w:cs="宋体"/>
          <w:iCs w:val="0"/>
        </w:rPr>
        <w:sectPr>
          <w:footnotePr>
            <w:numFmt w:val="decimalEnclosedCircleChinese"/>
            <w:numRestart w:val="eachPage"/>
          </w:footnotePr>
          <w:pgSz w:w="11907" w:h="16840"/>
          <w:pgMar w:top="1417" w:right="1417" w:bottom="1417" w:left="1417" w:header="850" w:footer="850" w:gutter="0"/>
          <w:cols w:space="720" w:num="1"/>
          <w:docGrid w:linePitch="312" w:charSpace="0"/>
        </w:sectPr>
      </w:pPr>
      <w:bookmarkStart w:id="14" w:name="_Toc533720426"/>
      <w:bookmarkStart w:id="15" w:name="_Toc800"/>
      <w:bookmarkStart w:id="16" w:name="_Toc739"/>
    </w:p>
    <w:p>
      <w:pPr>
        <w:pStyle w:val="7"/>
        <w:rPr>
          <w:rFonts w:hint="eastAsia" w:ascii="宋体" w:hAnsi="宋体" w:eastAsia="宋体" w:cs="宋体"/>
          <w:iCs w:val="0"/>
        </w:rPr>
      </w:pPr>
      <w:bookmarkStart w:id="17" w:name="_Toc29003"/>
      <w:bookmarkStart w:id="18" w:name="_Toc24881"/>
      <w:bookmarkStart w:id="19" w:name="_Toc28597"/>
      <w:r>
        <w:rPr>
          <w:rFonts w:hint="eastAsia" w:ascii="宋体" w:hAnsi="宋体" w:eastAsia="宋体" w:cs="宋体"/>
          <w:iCs w:val="0"/>
        </w:rPr>
        <w:t>附录</w:t>
      </w:r>
      <w:r>
        <w:rPr>
          <w:rFonts w:hint="eastAsia" w:ascii="宋体" w:hAnsi="宋体" w:eastAsia="宋体" w:cs="宋体"/>
          <w:iCs w:val="0"/>
          <w:lang w:val="en-US" w:eastAsia="zh-CN"/>
        </w:rPr>
        <w:t>3</w:t>
      </w:r>
      <w:r>
        <w:rPr>
          <w:rFonts w:hint="eastAsia" w:ascii="宋体" w:hAnsi="宋体" w:eastAsia="宋体" w:cs="宋体"/>
          <w:iCs w:val="0"/>
        </w:rPr>
        <w:t xml:space="preserve">  资格审查条件(财务最低要求)</w:t>
      </w:r>
      <w:bookmarkEnd w:id="17"/>
      <w:bookmarkEnd w:id="18"/>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000" w:type="dxa"/>
            <w:noWrap w:val="0"/>
            <w:vAlign w:val="center"/>
          </w:tcPr>
          <w:p>
            <w:pPr>
              <w:jc w:val="center"/>
              <w:rPr>
                <w:rFonts w:ascii="宋体" w:hAnsi="宋体" w:cs="宋体"/>
                <w:b/>
              </w:rPr>
            </w:pPr>
            <w:r>
              <w:rPr>
                <w:rFonts w:ascii="宋体" w:hAnsi="宋体" w:cs="宋体"/>
                <w:b/>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jc w:val="center"/>
        </w:trPr>
        <w:tc>
          <w:tcPr>
            <w:tcW w:w="9000" w:type="dxa"/>
            <w:noWrap w:val="0"/>
            <w:vAlign w:val="center"/>
          </w:tcPr>
          <w:p>
            <w:pPr>
              <w:widowControl/>
              <w:spacing w:line="240" w:lineRule="auto"/>
              <w:rPr>
                <w:rFonts w:ascii="宋体" w:hAnsi="宋体" w:cs="宋体"/>
              </w:rPr>
            </w:pPr>
            <w:r>
              <w:rPr>
                <w:rFonts w:ascii="宋体" w:hAnsi="宋体" w:cs="宋体"/>
              </w:rPr>
              <w:t>第一种方式</w:t>
            </w:r>
          </w:p>
          <w:p>
            <w:pPr>
              <w:widowControl/>
              <w:spacing w:line="240" w:lineRule="auto"/>
              <w:rPr>
                <w:rFonts w:ascii="宋体" w:hAnsi="宋体" w:cs="宋体"/>
              </w:rPr>
            </w:pPr>
            <w:r>
              <w:rPr>
                <w:rFonts w:ascii="宋体" w:hAnsi="宋体" w:cs="宋体"/>
              </w:rPr>
              <w:t>近三年每年的营业收入不少于100万元。</w:t>
            </w:r>
          </w:p>
          <w:p>
            <w:pPr>
              <w:widowControl/>
              <w:spacing w:line="240" w:lineRule="auto"/>
              <w:rPr>
                <w:rFonts w:ascii="宋体" w:hAnsi="宋体" w:cs="宋体"/>
              </w:rPr>
            </w:pPr>
          </w:p>
          <w:p>
            <w:pPr>
              <w:widowControl/>
              <w:spacing w:line="240" w:lineRule="auto"/>
              <w:rPr>
                <w:rFonts w:ascii="宋体" w:hAnsi="宋体" w:cs="宋体"/>
              </w:rPr>
            </w:pPr>
            <w:r>
              <w:rPr>
                <w:rFonts w:ascii="宋体" w:hAnsi="宋体" w:cs="宋体"/>
              </w:rPr>
              <w:t>第二种方式</w:t>
            </w:r>
          </w:p>
          <w:p>
            <w:pPr>
              <w:pStyle w:val="4"/>
              <w:ind w:firstLine="0" w:firstLineChars="0"/>
              <w:rPr>
                <w:rFonts w:ascii="宋体" w:hAnsi="宋体" w:cs="宋体"/>
              </w:rPr>
            </w:pPr>
            <w:r>
              <w:rPr>
                <w:rFonts w:ascii="宋体" w:hAnsi="宋体" w:cs="宋体"/>
              </w:rPr>
              <w:t>由银行出具</w:t>
            </w:r>
            <w:r>
              <w:rPr>
                <w:rFonts w:ascii="宋体" w:hAnsi="宋体" w:cs="宋体"/>
                <w:b/>
                <w:bCs/>
                <w:color w:val="FF0000"/>
              </w:rPr>
              <w:t>（须有银行盖章）</w:t>
            </w:r>
            <w:r>
              <w:rPr>
                <w:rFonts w:ascii="宋体" w:hAnsi="宋体" w:cs="宋体"/>
              </w:rPr>
              <w:t>递交投标文件的截止时间前3个月内（2022年6月、2022年7月、2022年8月）的单位账户流水证明，每月</w:t>
            </w:r>
            <w:r>
              <w:rPr>
                <w:rFonts w:ascii="宋体" w:hAnsi="宋体" w:cs="宋体"/>
                <w:b/>
                <w:bCs/>
                <w:color w:val="FF0000"/>
              </w:rPr>
              <w:t>月末</w:t>
            </w:r>
            <w:r>
              <w:rPr>
                <w:rFonts w:ascii="宋体" w:hAnsi="宋体" w:cs="宋体"/>
              </w:rPr>
              <w:t>账户余额的平均值不少于10万元。</w:t>
            </w:r>
          </w:p>
          <w:p>
            <w:pPr>
              <w:jc w:val="left"/>
              <w:rPr>
                <w:rFonts w:ascii="宋体" w:hAnsi="宋体" w:cs="宋体"/>
              </w:rPr>
            </w:pPr>
            <w:r>
              <w:rPr>
                <w:rFonts w:ascii="宋体" w:hAnsi="宋体" w:cs="宋体"/>
                <w:b/>
                <w:bCs/>
                <w:color w:val="FF0000"/>
              </w:rPr>
              <w:t>上述两种方式满足其中一种即可，无银行盖章的流水证明按无效投标处理。</w:t>
            </w:r>
          </w:p>
        </w:tc>
      </w:tr>
    </w:tbl>
    <w:p>
      <w:pPr>
        <w:pStyle w:val="3"/>
        <w:spacing w:after="0" w:line="400" w:lineRule="atLeast"/>
        <w:ind w:left="600" w:leftChars="100" w:hanging="360" w:hangingChars="200"/>
        <w:rPr>
          <w:rFonts w:hint="eastAsia" w:ascii="宋体" w:hAnsi="宋体" w:cs="宋体"/>
          <w:color w:val="FF0000"/>
          <w:sz w:val="18"/>
          <w:szCs w:val="18"/>
        </w:rPr>
      </w:pPr>
      <w:r>
        <w:rPr>
          <w:rFonts w:hint="eastAsia" w:ascii="宋体" w:hAnsi="宋体" w:cs="宋体"/>
          <w:sz w:val="18"/>
          <w:szCs w:val="18"/>
        </w:rPr>
        <w:t>注：</w:t>
      </w:r>
      <w:r>
        <w:rPr>
          <w:rFonts w:hint="eastAsia" w:ascii="宋体" w:hAnsi="宋体" w:cs="宋体"/>
          <w:color w:val="FF0000"/>
          <w:sz w:val="18"/>
          <w:szCs w:val="18"/>
        </w:rPr>
        <w:t>1.采用第一种方式应附经会计师事务所或审计机构审计的财务会计报表，包括资产负债表、现金流量表、利润表的复印件。公司成立时间不足三年的提供自公司成立以来的会计报表。若最近年度会计报表未出，则近三年时间往前推算一年。</w:t>
      </w:r>
    </w:p>
    <w:p>
      <w:pPr>
        <w:pStyle w:val="3"/>
        <w:spacing w:after="0" w:line="400" w:lineRule="atLeast"/>
        <w:ind w:left="690" w:leftChars="0"/>
        <w:rPr>
          <w:rFonts w:hint="eastAsia" w:ascii="宋体" w:hAnsi="宋体" w:cs="宋体"/>
          <w:color w:val="FF0000"/>
          <w:sz w:val="18"/>
          <w:szCs w:val="18"/>
        </w:rPr>
      </w:pPr>
      <w:r>
        <w:rPr>
          <w:rFonts w:hint="eastAsia" w:ascii="宋体" w:hAnsi="宋体" w:cs="宋体"/>
          <w:color w:val="FF0000"/>
          <w:sz w:val="18"/>
          <w:szCs w:val="18"/>
        </w:rPr>
        <w:t>2.采用第二种方式应附银行出具（须有银行盖章）递交投标文件的截止时间前3个月内的单位账户流水证明。</w:t>
      </w:r>
    </w:p>
    <w:p>
      <w:pPr>
        <w:rPr>
          <w:rFonts w:hint="eastAsia"/>
        </w:rPr>
      </w:pPr>
    </w:p>
    <w:p>
      <w:pPr>
        <w:pStyle w:val="4"/>
        <w:ind w:firstLine="240"/>
        <w:rPr>
          <w:rFonts w:hint="eastAsia"/>
        </w:rPr>
      </w:pPr>
    </w:p>
    <w:p>
      <w:pPr>
        <w:pStyle w:val="4"/>
        <w:ind w:firstLine="240"/>
        <w:rPr>
          <w:rFonts w:hint="eastAsia"/>
        </w:rPr>
      </w:pPr>
    </w:p>
    <w:p>
      <w:pPr>
        <w:pStyle w:val="4"/>
        <w:ind w:firstLine="240"/>
        <w:rPr>
          <w:rFonts w:hint="eastAsia"/>
        </w:rPr>
      </w:pPr>
    </w:p>
    <w:p>
      <w:pPr>
        <w:pStyle w:val="4"/>
        <w:ind w:firstLine="240"/>
        <w:rPr>
          <w:rFonts w:hint="eastAsia"/>
        </w:rPr>
      </w:pPr>
    </w:p>
    <w:p>
      <w:pPr>
        <w:pStyle w:val="4"/>
        <w:ind w:firstLine="240"/>
        <w:rPr>
          <w:rFonts w:hint="eastAsia"/>
        </w:rPr>
      </w:pPr>
    </w:p>
    <w:p>
      <w:pPr>
        <w:pStyle w:val="4"/>
        <w:ind w:firstLine="240"/>
        <w:rPr>
          <w:rFonts w:hint="eastAsia"/>
        </w:rPr>
      </w:pPr>
    </w:p>
    <w:p>
      <w:pPr>
        <w:pStyle w:val="4"/>
        <w:ind w:firstLine="240"/>
        <w:rPr>
          <w:rFonts w:hint="eastAsia"/>
        </w:rPr>
      </w:pPr>
    </w:p>
    <w:p>
      <w:pPr>
        <w:pStyle w:val="4"/>
        <w:ind w:firstLine="240"/>
        <w:rPr>
          <w:rFonts w:hint="eastAsia"/>
        </w:rPr>
      </w:pPr>
    </w:p>
    <w:p>
      <w:pPr>
        <w:pStyle w:val="4"/>
        <w:ind w:firstLine="240"/>
        <w:rPr>
          <w:rFonts w:hint="eastAsia"/>
        </w:rPr>
      </w:pPr>
    </w:p>
    <w:p>
      <w:pPr>
        <w:pStyle w:val="4"/>
        <w:ind w:firstLine="240"/>
        <w:rPr>
          <w:rFonts w:hint="eastAsia"/>
        </w:rPr>
      </w:pPr>
    </w:p>
    <w:p>
      <w:pPr>
        <w:pStyle w:val="4"/>
        <w:ind w:firstLine="240"/>
        <w:rPr>
          <w:rFonts w:hint="eastAsia"/>
        </w:rPr>
      </w:pPr>
    </w:p>
    <w:p>
      <w:pPr>
        <w:pStyle w:val="4"/>
        <w:ind w:firstLine="240"/>
        <w:rPr>
          <w:rFonts w:hint="eastAsia"/>
        </w:rPr>
      </w:pPr>
    </w:p>
    <w:p>
      <w:pPr>
        <w:pStyle w:val="4"/>
        <w:ind w:firstLine="240"/>
      </w:pPr>
    </w:p>
    <w:p>
      <w:pPr>
        <w:pStyle w:val="7"/>
        <w:rPr>
          <w:rFonts w:hint="eastAsia" w:ascii="宋体" w:hAnsi="宋体" w:eastAsia="宋体" w:cs="宋体"/>
          <w:iCs w:val="0"/>
        </w:rPr>
        <w:sectPr>
          <w:footerReference r:id="rId7" w:type="default"/>
          <w:footnotePr>
            <w:numFmt w:val="decimalEnclosedCircleChinese"/>
            <w:numRestart w:val="eachPage"/>
          </w:footnotePr>
          <w:pgSz w:w="11907" w:h="16840"/>
          <w:pgMar w:top="1417" w:right="1417" w:bottom="1417" w:left="1417" w:header="850" w:footer="850" w:gutter="0"/>
          <w:cols w:space="720" w:num="1"/>
          <w:docGrid w:linePitch="312" w:charSpace="0"/>
        </w:sectPr>
      </w:pPr>
    </w:p>
    <w:p>
      <w:pPr>
        <w:pStyle w:val="7"/>
        <w:rPr>
          <w:rFonts w:hint="eastAsia"/>
        </w:rPr>
      </w:pPr>
      <w:bookmarkStart w:id="20" w:name="_Toc12455"/>
      <w:r>
        <w:rPr>
          <w:rFonts w:hint="eastAsia" w:ascii="宋体" w:hAnsi="宋体" w:eastAsia="宋体" w:cs="宋体"/>
          <w:iCs w:val="0"/>
        </w:rPr>
        <w:t>附录</w:t>
      </w:r>
      <w:r>
        <w:rPr>
          <w:rFonts w:hint="eastAsia" w:ascii="宋体" w:hAnsi="宋体" w:eastAsia="宋体" w:cs="宋体"/>
          <w:iCs w:val="0"/>
          <w:lang w:val="en-US" w:eastAsia="zh-CN"/>
        </w:rPr>
        <w:t>4</w:t>
      </w:r>
      <w:r>
        <w:rPr>
          <w:rFonts w:hint="eastAsia" w:ascii="宋体" w:hAnsi="宋体" w:eastAsia="宋体" w:cs="宋体"/>
          <w:iCs w:val="0"/>
        </w:rPr>
        <w:t xml:space="preserve">  资格审查条件(其他管理和技术人员最低要求)</w:t>
      </w:r>
      <w:bookmarkEnd w:id="20"/>
      <w:r>
        <w:rPr>
          <w:rFonts w:hint="eastAsia" w:ascii="宋体" w:hAnsi="宋体" w:eastAsia="宋体" w:cs="宋体"/>
          <w:iCs w:val="0"/>
        </w:rPr>
        <w:t xml:space="preserve"> </w:t>
      </w:r>
    </w:p>
    <w:tbl>
      <w:tblPr>
        <w:tblStyle w:val="12"/>
        <w:tblW w:w="9162" w:type="dxa"/>
        <w:jc w:val="center"/>
        <w:tblLayout w:type="autofit"/>
        <w:tblCellMar>
          <w:top w:w="0" w:type="dxa"/>
          <w:left w:w="108" w:type="dxa"/>
          <w:bottom w:w="0" w:type="dxa"/>
          <w:right w:w="108" w:type="dxa"/>
        </w:tblCellMar>
      </w:tblPr>
      <w:tblGrid>
        <w:gridCol w:w="1320"/>
        <w:gridCol w:w="4233"/>
        <w:gridCol w:w="1203"/>
        <w:gridCol w:w="1203"/>
        <w:gridCol w:w="1203"/>
      </w:tblGrid>
      <w:tr>
        <w:tblPrEx>
          <w:tblCellMar>
            <w:top w:w="0" w:type="dxa"/>
            <w:left w:w="108" w:type="dxa"/>
            <w:bottom w:w="0" w:type="dxa"/>
            <w:right w:w="108" w:type="dxa"/>
          </w:tblCellMar>
        </w:tblPrEx>
        <w:trPr>
          <w:trHeight w:val="1299" w:hRule="atLeast"/>
          <w:jc w:val="center"/>
        </w:trPr>
        <w:tc>
          <w:tcPr>
            <w:tcW w:w="132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rPr>
            </w:pPr>
            <w:r>
              <w:rPr>
                <w:rFonts w:hint="default" w:ascii="Times New Roman" w:hAnsi="Times New Roman" w:cs="Times New Roman"/>
                <w:b/>
                <w:bCs/>
                <w:color w:val="000000"/>
                <w:kern w:val="0"/>
                <w:lang w:bidi="ar"/>
              </w:rPr>
              <w:t>人  员</w:t>
            </w:r>
          </w:p>
        </w:tc>
        <w:tc>
          <w:tcPr>
            <w:tcW w:w="423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rPr>
            </w:pPr>
            <w:r>
              <w:rPr>
                <w:rFonts w:hint="default" w:ascii="Times New Roman" w:hAnsi="Times New Roman" w:cs="Times New Roman"/>
                <w:b/>
                <w:bCs/>
                <w:color w:val="000000"/>
                <w:kern w:val="0"/>
                <w:lang w:bidi="ar"/>
              </w:rPr>
              <w:t>资 格 要 求</w:t>
            </w:r>
          </w:p>
        </w:tc>
        <w:tc>
          <w:tcPr>
            <w:tcW w:w="1203" w:type="dxa"/>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eastAsia="宋体" w:cs="Times New Roman"/>
                <w:b/>
                <w:bCs/>
                <w:color w:val="000000"/>
                <w:kern w:val="0"/>
                <w:lang w:bidi="ar"/>
              </w:rPr>
            </w:pPr>
            <w:r>
              <w:rPr>
                <w:rFonts w:ascii="宋体" w:hAnsi="宋体" w:cs="宋体"/>
                <w:b/>
                <w:bCs/>
              </w:rPr>
              <w:t>数  量</w:t>
            </w:r>
          </w:p>
        </w:tc>
        <w:tc>
          <w:tcPr>
            <w:tcW w:w="1203" w:type="dxa"/>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eastAsia="宋体" w:cs="Times New Roman"/>
                <w:b/>
                <w:bCs/>
                <w:color w:val="000000"/>
                <w:kern w:val="0"/>
                <w:lang w:bidi="ar"/>
              </w:rPr>
            </w:pPr>
            <w:r>
              <w:rPr>
                <w:rFonts w:ascii="宋体" w:hAnsi="宋体" w:cs="宋体"/>
                <w:b/>
                <w:bCs/>
              </w:rPr>
              <w:t>出勤时间</w:t>
            </w:r>
          </w:p>
        </w:tc>
        <w:tc>
          <w:tcPr>
            <w:tcW w:w="1203" w:type="dxa"/>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eastAsia="宋体" w:cs="Times New Roman"/>
                <w:b/>
                <w:bCs/>
                <w:color w:val="000000"/>
                <w:kern w:val="0"/>
                <w:lang w:bidi="ar"/>
              </w:rPr>
            </w:pPr>
            <w:r>
              <w:rPr>
                <w:rFonts w:ascii="宋体" w:hAnsi="宋体" w:cs="宋体"/>
                <w:b/>
                <w:bCs/>
              </w:rPr>
              <w:t>备  注</w:t>
            </w:r>
          </w:p>
        </w:tc>
      </w:tr>
      <w:tr>
        <w:tblPrEx>
          <w:tblCellMar>
            <w:top w:w="0" w:type="dxa"/>
            <w:left w:w="108" w:type="dxa"/>
            <w:bottom w:w="0" w:type="dxa"/>
            <w:right w:w="108" w:type="dxa"/>
          </w:tblCellMar>
        </w:tblPrEx>
        <w:trPr>
          <w:trHeight w:val="90" w:hRule="atLeast"/>
          <w:jc w:val="center"/>
        </w:trPr>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eastAsia="宋体" w:cs="宋体"/>
              </w:rPr>
            </w:pPr>
            <w:r>
              <w:rPr>
                <w:rFonts w:ascii="宋体" w:hAnsi="宋体" w:cs="宋体"/>
              </w:rPr>
              <w:t>现场负责人</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宋体" w:hAnsi="宋体" w:eastAsia="宋体" w:cs="宋体"/>
              </w:rPr>
            </w:pPr>
            <w:r>
              <w:rPr>
                <w:rFonts w:ascii="宋体" w:hAnsi="宋体" w:cs="宋体"/>
              </w:rPr>
              <w:t>持有效身份证，年龄55岁及以下，具有高速公路养护施工经验。</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宋体" w:hAnsi="宋体" w:eastAsia="宋体" w:cs="宋体"/>
              </w:rPr>
            </w:pPr>
            <w:r>
              <w:rPr>
                <w:rFonts w:ascii="宋体" w:hAnsi="宋体" w:cs="宋体"/>
              </w:rPr>
              <w:t>1</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宋体" w:hAnsi="宋体" w:eastAsia="宋体" w:cs="宋体"/>
              </w:rPr>
            </w:pPr>
            <w:r>
              <w:rPr>
                <w:rFonts w:ascii="宋体" w:hAnsi="宋体" w:cs="宋体"/>
              </w:rPr>
              <w:t>12个月</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宋体" w:hAnsi="宋体" w:cs="宋体"/>
              </w:rPr>
            </w:pPr>
            <w:r>
              <w:rPr>
                <w:rFonts w:ascii="宋体" w:hAnsi="宋体" w:cs="宋体"/>
              </w:rPr>
              <w:t>负责项目对接和管理，参与现场指导施工</w:t>
            </w:r>
          </w:p>
        </w:tc>
      </w:tr>
      <w:tr>
        <w:tblPrEx>
          <w:tblCellMar>
            <w:top w:w="0" w:type="dxa"/>
            <w:left w:w="108" w:type="dxa"/>
            <w:bottom w:w="0" w:type="dxa"/>
            <w:right w:w="108" w:type="dxa"/>
          </w:tblCellMar>
        </w:tblPrEx>
        <w:trPr>
          <w:trHeight w:val="1259" w:hRule="atLeast"/>
          <w:jc w:val="center"/>
        </w:trPr>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宋体" w:hAnsi="宋体" w:eastAsia="宋体" w:cs="宋体"/>
              </w:rPr>
            </w:pPr>
            <w:r>
              <w:rPr>
                <w:rFonts w:ascii="宋体" w:hAnsi="宋体" w:cs="宋体"/>
              </w:rPr>
              <w:t>安全员</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宋体" w:hAnsi="宋体" w:eastAsia="宋体" w:cs="宋体"/>
              </w:rPr>
            </w:pPr>
            <w:r>
              <w:rPr>
                <w:rFonts w:ascii="宋体" w:hAnsi="宋体" w:cs="宋体"/>
              </w:rPr>
              <w:t>有效身份证，年龄55岁及以下，具有安全生产考核合格证书（C证）。</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eastAsia="宋体" w:cs="宋体"/>
              </w:rPr>
            </w:pPr>
            <w:r>
              <w:rPr>
                <w:rFonts w:ascii="宋体" w:hAnsi="宋体" w:cs="宋体"/>
              </w:rPr>
              <w:t>6</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eastAsia="宋体" w:cs="宋体"/>
              </w:rPr>
            </w:pPr>
            <w:r>
              <w:rPr>
                <w:rFonts w:ascii="宋体" w:hAnsi="宋体" w:cs="宋体"/>
              </w:rPr>
              <w:t>12个月</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cs="宋体"/>
              </w:rPr>
            </w:pPr>
          </w:p>
        </w:tc>
      </w:tr>
      <w:tr>
        <w:tblPrEx>
          <w:tblCellMar>
            <w:top w:w="0" w:type="dxa"/>
            <w:left w:w="108" w:type="dxa"/>
            <w:bottom w:w="0" w:type="dxa"/>
            <w:right w:w="108" w:type="dxa"/>
          </w:tblCellMar>
        </w:tblPrEx>
        <w:trPr>
          <w:trHeight w:val="994" w:hRule="atLeast"/>
          <w:jc w:val="center"/>
        </w:trPr>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宋体" w:hAnsi="宋体" w:eastAsia="宋体" w:cs="宋体"/>
              </w:rPr>
            </w:pPr>
            <w:r>
              <w:rPr>
                <w:rFonts w:ascii="宋体" w:hAnsi="宋体" w:cs="宋体"/>
              </w:rPr>
              <w:t>轮流值守人员</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宋体" w:hAnsi="宋体" w:eastAsia="宋体" w:cs="宋体"/>
              </w:rPr>
            </w:pPr>
            <w:r>
              <w:rPr>
                <w:rFonts w:ascii="宋体" w:hAnsi="宋体" w:cs="宋体"/>
              </w:rPr>
              <w:t>持有效身份证，年龄55岁及以下，具有高速公路养护施工经验。</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eastAsia="宋体" w:cs="宋体"/>
              </w:rPr>
            </w:pPr>
            <w:r>
              <w:rPr>
                <w:rFonts w:ascii="宋体" w:hAnsi="宋体" w:cs="宋体"/>
              </w:rPr>
              <w:t>74</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eastAsia="宋体" w:cs="宋体"/>
              </w:rPr>
            </w:pPr>
            <w:r>
              <w:rPr>
                <w:rFonts w:ascii="宋体" w:hAnsi="宋体" w:cs="宋体"/>
              </w:rPr>
              <w:t>12个月</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cs="宋体"/>
              </w:rPr>
            </w:pPr>
          </w:p>
        </w:tc>
      </w:tr>
      <w:tr>
        <w:tblPrEx>
          <w:tblCellMar>
            <w:top w:w="0" w:type="dxa"/>
            <w:left w:w="108" w:type="dxa"/>
            <w:bottom w:w="0" w:type="dxa"/>
            <w:right w:w="108" w:type="dxa"/>
          </w:tblCellMar>
        </w:tblPrEx>
        <w:trPr>
          <w:trHeight w:val="994" w:hRule="atLeast"/>
          <w:jc w:val="center"/>
        </w:trPr>
        <w:tc>
          <w:tcPr>
            <w:tcW w:w="13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ascii="宋体" w:hAnsi="宋体" w:cs="宋体"/>
              </w:rPr>
            </w:pPr>
            <w:r>
              <w:rPr>
                <w:rFonts w:ascii="宋体" w:hAnsi="宋体" w:cs="宋体"/>
              </w:rPr>
              <w:t>巡视巡查人员</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宋体" w:hAnsi="宋体" w:eastAsia="宋体" w:cs="宋体"/>
                <w:kern w:val="1"/>
              </w:rPr>
            </w:pPr>
            <w:r>
              <w:rPr>
                <w:rFonts w:ascii="宋体" w:hAnsi="宋体" w:cs="宋体"/>
              </w:rPr>
              <w:t>持有效身份证，年龄55岁及以下，具有高速公路养护施工经验。</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eastAsia="宋体" w:cs="宋体"/>
              </w:rPr>
            </w:pPr>
            <w:r>
              <w:rPr>
                <w:rFonts w:ascii="宋体" w:hAnsi="宋体" w:cs="宋体"/>
              </w:rPr>
              <w:t>11</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宋体" w:hAnsi="宋体" w:cs="宋体"/>
              </w:rPr>
            </w:pPr>
            <w:r>
              <w:rPr>
                <w:rFonts w:ascii="宋体" w:hAnsi="宋体" w:cs="宋体"/>
              </w:rPr>
              <w:t>12个月</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宋体" w:hAnsi="宋体" w:cs="宋体"/>
              </w:rPr>
            </w:pPr>
          </w:p>
        </w:tc>
      </w:tr>
    </w:tbl>
    <w:p>
      <w:pPr>
        <w:widowControl/>
        <w:spacing w:line="360" w:lineRule="exact"/>
        <w:jc w:val="left"/>
        <w:rPr>
          <w:rFonts w:hint="eastAsia" w:ascii="宋体" w:hAnsi="宋体" w:cs="宋体"/>
          <w:kern w:val="0"/>
          <w:sz w:val="18"/>
          <w:szCs w:val="18"/>
          <w:u w:val="single"/>
        </w:rPr>
      </w:pPr>
      <w:r>
        <w:rPr>
          <w:rFonts w:hint="eastAsia" w:ascii="宋体" w:hAnsi="宋体" w:cs="宋体"/>
          <w:sz w:val="18"/>
          <w:szCs w:val="18"/>
        </w:rPr>
        <w:t>注：</w:t>
      </w:r>
      <w:r>
        <w:rPr>
          <w:rFonts w:hint="eastAsia" w:ascii="宋体" w:hAnsi="宋体" w:cs="宋体"/>
          <w:kern w:val="0"/>
          <w:sz w:val="18"/>
          <w:szCs w:val="18"/>
          <w:u w:val="single"/>
        </w:rPr>
        <w:t>施工班组和人员配备为正常施工配置，如有工程进度要求，各施工队必须无条件的增加施工人员和机具配置；</w:t>
      </w:r>
      <w:r>
        <w:rPr>
          <w:rFonts w:hint="eastAsia" w:ascii="宋体" w:hAnsi="宋体" w:cs="宋体"/>
          <w:color w:val="FF0000"/>
          <w:kern w:val="0"/>
          <w:sz w:val="18"/>
          <w:szCs w:val="18"/>
          <w:u w:val="single"/>
        </w:rPr>
        <w:t>投标人应按招标文件第八章“投标文件格式”相应内容、表格及下注说明的要求在其投标文件中填写相关内容、表格并在相应位置提供要求的证书、证明材料。</w:t>
      </w:r>
      <w:r>
        <w:rPr>
          <w:rFonts w:hint="eastAsia" w:ascii="宋体" w:hAnsi="宋体" w:cs="宋体"/>
          <w:kern w:val="0"/>
          <w:sz w:val="18"/>
          <w:szCs w:val="18"/>
          <w:u w:val="single"/>
        </w:rPr>
        <w:t>如未按要求填写或未按要求提供要求的证书、证明材料的或提供的证书、证明材料不满足要求或不足以证明其满足要求的，评标委员会在对其投标进行评审时将不予通过。</w:t>
      </w:r>
    </w:p>
    <w:p>
      <w:pPr>
        <w:pStyle w:val="4"/>
        <w:ind w:firstLine="0" w:firstLineChars="0"/>
        <w:rPr>
          <w:rFonts w:hint="eastAsia" w:ascii="宋体" w:hAnsi="宋体" w:cs="宋体"/>
          <w:bCs/>
          <w:kern w:val="0"/>
          <w:szCs w:val="20"/>
        </w:rPr>
      </w:pPr>
    </w:p>
    <w:p>
      <w:pPr>
        <w:pStyle w:val="4"/>
        <w:ind w:firstLine="0" w:firstLineChars="0"/>
        <w:rPr>
          <w:rFonts w:hint="eastAsia" w:ascii="宋体" w:hAnsi="宋体" w:cs="宋体"/>
          <w:kern w:val="0"/>
          <w:sz w:val="18"/>
          <w:szCs w:val="18"/>
          <w:u w:val="single"/>
        </w:rPr>
        <w:sectPr>
          <w:footnotePr>
            <w:numFmt w:val="decimalEnclosedCircleChinese"/>
            <w:numRestart w:val="eachPage"/>
          </w:footnotePr>
          <w:pgSz w:w="11907" w:h="16840"/>
          <w:pgMar w:top="1417" w:right="1417" w:bottom="1417" w:left="1417" w:header="850" w:footer="850" w:gutter="0"/>
          <w:cols w:space="720" w:num="1"/>
          <w:docGrid w:linePitch="312" w:charSpace="0"/>
        </w:sectPr>
      </w:pPr>
    </w:p>
    <w:bookmarkEnd w:id="14"/>
    <w:bookmarkEnd w:id="15"/>
    <w:bookmarkEnd w:id="16"/>
    <w:bookmarkEnd w:id="19"/>
    <w:p>
      <w:pPr>
        <w:pStyle w:val="3"/>
        <w:spacing w:after="0" w:line="360" w:lineRule="auto"/>
        <w:ind w:left="0" w:leftChars="0"/>
        <w:outlineLvl w:val="2"/>
        <w:rPr>
          <w:rFonts w:hint="eastAsia" w:ascii="宋体" w:hAnsi="宋体" w:cs="宋体"/>
          <w:bCs/>
          <w:iCs/>
          <w:kern w:val="0"/>
          <w:szCs w:val="20"/>
        </w:rPr>
      </w:pPr>
      <w:bookmarkStart w:id="21" w:name="_Toc533720427"/>
      <w:bookmarkStart w:id="22" w:name="_Toc5842"/>
      <w:bookmarkStart w:id="23" w:name="_Toc1804"/>
      <w:bookmarkStart w:id="24" w:name="_Toc3916"/>
      <w:bookmarkStart w:id="25" w:name="_Toc30014"/>
      <w:r>
        <w:rPr>
          <w:rFonts w:hint="eastAsia" w:ascii="宋体" w:hAnsi="宋体" w:cs="宋体"/>
          <w:bCs/>
          <w:iCs/>
          <w:kern w:val="0"/>
          <w:szCs w:val="20"/>
        </w:rPr>
        <w:t>附录5  资格审查条件(主要机械设备和试验检测设备最低要求)</w:t>
      </w:r>
      <w:bookmarkEnd w:id="21"/>
      <w:bookmarkEnd w:id="22"/>
      <w:bookmarkEnd w:id="23"/>
      <w:bookmarkEnd w:id="24"/>
      <w:bookmarkEnd w:id="25"/>
    </w:p>
    <w:tbl>
      <w:tblPr>
        <w:tblStyle w:val="1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2765"/>
        <w:gridCol w:w="1206"/>
        <w:gridCol w:w="1783"/>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21" w:type="dxa"/>
            <w:noWrap w:val="0"/>
            <w:vAlign w:val="center"/>
          </w:tcPr>
          <w:p>
            <w:pPr>
              <w:widowControl/>
              <w:jc w:val="center"/>
              <w:textAlignment w:val="center"/>
              <w:rPr>
                <w:rFonts w:ascii="宋体" w:hAnsi="宋体" w:eastAsia="宋体" w:cs="宋体"/>
                <w:b/>
                <w:bCs/>
                <w:color w:val="000000"/>
                <w:sz w:val="21"/>
                <w:szCs w:val="21"/>
              </w:rPr>
            </w:pPr>
            <w:r>
              <w:rPr>
                <w:rFonts w:ascii="宋体" w:hAnsi="宋体" w:eastAsia="宋体" w:cs="宋体"/>
                <w:b/>
                <w:bCs/>
                <w:color w:val="000000"/>
                <w:kern w:val="0"/>
                <w:sz w:val="21"/>
                <w:szCs w:val="21"/>
                <w:lang w:bidi="ar"/>
              </w:rPr>
              <w:t>序号</w:t>
            </w:r>
          </w:p>
        </w:tc>
        <w:tc>
          <w:tcPr>
            <w:tcW w:w="2765" w:type="dxa"/>
            <w:noWrap w:val="0"/>
            <w:vAlign w:val="center"/>
          </w:tcPr>
          <w:p>
            <w:pPr>
              <w:widowControl/>
              <w:jc w:val="center"/>
              <w:textAlignment w:val="center"/>
              <w:rPr>
                <w:rFonts w:ascii="宋体" w:hAnsi="宋体" w:eastAsia="宋体" w:cs="宋体"/>
                <w:b/>
                <w:bCs/>
                <w:color w:val="000000"/>
                <w:kern w:val="0"/>
                <w:sz w:val="21"/>
                <w:szCs w:val="21"/>
                <w:lang w:bidi="ar"/>
              </w:rPr>
            </w:pPr>
            <w:r>
              <w:rPr>
                <w:rFonts w:ascii="宋体" w:hAnsi="宋体" w:eastAsia="宋体" w:cs="宋体"/>
                <w:b/>
                <w:bCs/>
                <w:color w:val="000000"/>
                <w:kern w:val="0"/>
                <w:sz w:val="21"/>
                <w:szCs w:val="21"/>
                <w:lang w:bidi="ar"/>
              </w:rPr>
              <w:t>设备名称</w:t>
            </w:r>
          </w:p>
        </w:tc>
        <w:tc>
          <w:tcPr>
            <w:tcW w:w="1206" w:type="dxa"/>
            <w:noWrap w:val="0"/>
            <w:vAlign w:val="center"/>
          </w:tcPr>
          <w:p>
            <w:pPr>
              <w:widowControl/>
              <w:jc w:val="center"/>
              <w:textAlignment w:val="center"/>
              <w:rPr>
                <w:rFonts w:ascii="宋体" w:hAnsi="宋体" w:eastAsia="宋体" w:cs="宋体"/>
                <w:b/>
                <w:bCs/>
                <w:color w:val="000000"/>
                <w:kern w:val="0"/>
                <w:sz w:val="21"/>
                <w:szCs w:val="21"/>
                <w:lang w:bidi="ar"/>
              </w:rPr>
            </w:pPr>
            <w:r>
              <w:rPr>
                <w:rFonts w:ascii="宋体" w:hAnsi="宋体" w:eastAsia="宋体" w:cs="宋体"/>
                <w:b/>
                <w:bCs/>
                <w:color w:val="000000"/>
                <w:kern w:val="0"/>
                <w:sz w:val="21"/>
                <w:szCs w:val="21"/>
                <w:lang w:bidi="ar"/>
              </w:rPr>
              <w:t>单位</w:t>
            </w:r>
          </w:p>
        </w:tc>
        <w:tc>
          <w:tcPr>
            <w:tcW w:w="1783" w:type="dxa"/>
            <w:noWrap w:val="0"/>
            <w:vAlign w:val="center"/>
          </w:tcPr>
          <w:p>
            <w:pPr>
              <w:widowControl/>
              <w:jc w:val="center"/>
              <w:textAlignment w:val="center"/>
              <w:rPr>
                <w:rFonts w:ascii="宋体" w:hAnsi="宋体" w:eastAsia="宋体" w:cs="宋体"/>
                <w:b/>
                <w:bCs/>
                <w:color w:val="000000"/>
                <w:kern w:val="0"/>
                <w:sz w:val="21"/>
                <w:szCs w:val="21"/>
                <w:lang w:bidi="ar"/>
              </w:rPr>
            </w:pPr>
            <w:r>
              <w:rPr>
                <w:rFonts w:ascii="宋体" w:hAnsi="宋体" w:eastAsia="宋体" w:cs="宋体"/>
                <w:b/>
                <w:bCs/>
                <w:color w:val="000000"/>
                <w:kern w:val="0"/>
                <w:sz w:val="21"/>
                <w:szCs w:val="21"/>
                <w:lang w:bidi="ar"/>
              </w:rPr>
              <w:t>数量</w:t>
            </w:r>
          </w:p>
        </w:tc>
        <w:tc>
          <w:tcPr>
            <w:tcW w:w="1245" w:type="dxa"/>
            <w:noWrap w:val="0"/>
            <w:vAlign w:val="top"/>
          </w:tcPr>
          <w:p>
            <w:pPr>
              <w:widowControl/>
              <w:jc w:val="center"/>
              <w:textAlignment w:val="center"/>
              <w:rPr>
                <w:rFonts w:ascii="宋体" w:hAnsi="宋体" w:cs="宋体"/>
                <w:b/>
                <w:bCs/>
                <w:color w:val="000000"/>
                <w:kern w:val="0"/>
                <w:sz w:val="21"/>
                <w:szCs w:val="21"/>
                <w:lang w:bidi="ar"/>
              </w:rPr>
            </w:pPr>
            <w:r>
              <w:rPr>
                <w:rFonts w:ascii="宋体" w:hAnsi="宋体" w:cs="宋体"/>
                <w:b/>
                <w:bCs/>
                <w:color w:val="00000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1521" w:type="dxa"/>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1</w:t>
            </w:r>
          </w:p>
        </w:tc>
        <w:tc>
          <w:tcPr>
            <w:tcW w:w="2765" w:type="dxa"/>
            <w:noWrap w:val="0"/>
            <w:vAlign w:val="center"/>
          </w:tcPr>
          <w:p>
            <w:pPr>
              <w:widowControl/>
              <w:jc w:val="center"/>
              <w:textAlignment w:val="center"/>
              <w:rPr>
                <w:rFonts w:hint="default" w:ascii="宋体" w:hAnsi="宋体" w:eastAsia="宋体" w:cs="宋体"/>
                <w:color w:val="000000"/>
                <w:kern w:val="0"/>
                <w:sz w:val="21"/>
                <w:szCs w:val="21"/>
                <w:lang w:bidi="ar"/>
              </w:rPr>
            </w:pPr>
            <w:r>
              <w:rPr>
                <w:rFonts w:ascii="宋体" w:hAnsi="宋体" w:eastAsia="宋体" w:cs="宋体"/>
                <w:color w:val="000000"/>
                <w:kern w:val="0"/>
                <w:sz w:val="21"/>
                <w:szCs w:val="21"/>
                <w:lang w:bidi="ar"/>
              </w:rPr>
              <w:t>警戒皮卡车</w:t>
            </w:r>
          </w:p>
        </w:tc>
        <w:tc>
          <w:tcPr>
            <w:tcW w:w="1206" w:type="dxa"/>
            <w:noWrap w:val="0"/>
            <w:vAlign w:val="center"/>
          </w:tcPr>
          <w:p>
            <w:pPr>
              <w:widowControl/>
              <w:jc w:val="center"/>
              <w:textAlignment w:val="center"/>
              <w:rPr>
                <w:rFonts w:hint="default" w:ascii="宋体" w:hAnsi="宋体" w:eastAsia="宋体" w:cs="宋体"/>
                <w:color w:val="000000"/>
                <w:kern w:val="0"/>
                <w:sz w:val="21"/>
                <w:szCs w:val="21"/>
                <w:lang w:bidi="ar"/>
              </w:rPr>
            </w:pPr>
            <w:r>
              <w:rPr>
                <w:rFonts w:hint="default" w:ascii="宋体" w:hAnsi="宋体" w:eastAsia="宋体" w:cs="宋体"/>
                <w:color w:val="000000"/>
                <w:kern w:val="0"/>
                <w:sz w:val="21"/>
                <w:szCs w:val="21"/>
                <w:lang w:bidi="ar"/>
              </w:rPr>
              <w:t>台</w:t>
            </w:r>
          </w:p>
        </w:tc>
        <w:tc>
          <w:tcPr>
            <w:tcW w:w="1783" w:type="dxa"/>
            <w:noWrap w:val="0"/>
            <w:vAlign w:val="center"/>
          </w:tcPr>
          <w:p>
            <w:pPr>
              <w:widowControl/>
              <w:jc w:val="center"/>
              <w:textAlignment w:val="center"/>
              <w:rPr>
                <w:rFonts w:hint="default" w:ascii="宋体" w:hAnsi="宋体" w:eastAsia="宋体" w:cs="宋体"/>
                <w:color w:val="000000"/>
                <w:kern w:val="0"/>
                <w:sz w:val="21"/>
                <w:szCs w:val="21"/>
                <w:lang w:bidi="ar"/>
              </w:rPr>
            </w:pPr>
            <w:r>
              <w:rPr>
                <w:rFonts w:ascii="宋体" w:hAnsi="宋体" w:eastAsia="宋体" w:cs="宋体"/>
                <w:color w:val="000000"/>
                <w:kern w:val="0"/>
                <w:sz w:val="21"/>
                <w:szCs w:val="21"/>
                <w:lang w:bidi="ar"/>
              </w:rPr>
              <w:t>5</w:t>
            </w:r>
          </w:p>
        </w:tc>
        <w:tc>
          <w:tcPr>
            <w:tcW w:w="1245" w:type="dxa"/>
            <w:noWrap w:val="0"/>
            <w:vAlign w:val="top"/>
          </w:tcPr>
          <w:p>
            <w:pPr>
              <w:widowControl/>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1" w:type="dxa"/>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2</w:t>
            </w:r>
          </w:p>
        </w:tc>
        <w:tc>
          <w:tcPr>
            <w:tcW w:w="2765" w:type="dxa"/>
            <w:noWrap w:val="0"/>
            <w:vAlign w:val="center"/>
          </w:tcPr>
          <w:p>
            <w:pPr>
              <w:widowControl/>
              <w:jc w:val="center"/>
              <w:textAlignment w:val="center"/>
              <w:rPr>
                <w:rFonts w:hint="default" w:ascii="宋体" w:hAnsi="宋体" w:eastAsia="宋体" w:cs="宋体"/>
                <w:color w:val="000000"/>
                <w:kern w:val="0"/>
                <w:sz w:val="21"/>
                <w:szCs w:val="21"/>
                <w:lang w:bidi="ar"/>
              </w:rPr>
            </w:pPr>
            <w:r>
              <w:rPr>
                <w:rFonts w:ascii="宋体" w:hAnsi="宋体" w:eastAsia="宋体" w:cs="宋体"/>
                <w:color w:val="000000"/>
                <w:kern w:val="0"/>
                <w:sz w:val="21"/>
                <w:szCs w:val="21"/>
                <w:lang w:bidi="ar"/>
              </w:rPr>
              <w:t>巡视巡查双排座小货车</w:t>
            </w:r>
          </w:p>
        </w:tc>
        <w:tc>
          <w:tcPr>
            <w:tcW w:w="1206" w:type="dxa"/>
            <w:noWrap w:val="0"/>
            <w:vAlign w:val="center"/>
          </w:tcPr>
          <w:p>
            <w:pPr>
              <w:widowControl/>
              <w:jc w:val="center"/>
              <w:textAlignment w:val="center"/>
              <w:rPr>
                <w:rFonts w:hint="default" w:ascii="宋体" w:hAnsi="宋体" w:eastAsia="宋体" w:cs="宋体"/>
                <w:color w:val="000000"/>
                <w:kern w:val="0"/>
                <w:sz w:val="21"/>
                <w:szCs w:val="21"/>
                <w:lang w:bidi="ar"/>
              </w:rPr>
            </w:pPr>
            <w:r>
              <w:rPr>
                <w:rFonts w:hint="default" w:ascii="宋体" w:hAnsi="宋体" w:eastAsia="宋体" w:cs="宋体"/>
                <w:color w:val="000000"/>
                <w:kern w:val="0"/>
                <w:sz w:val="21"/>
                <w:szCs w:val="21"/>
                <w:lang w:bidi="ar"/>
              </w:rPr>
              <w:t>台</w:t>
            </w:r>
          </w:p>
        </w:tc>
        <w:tc>
          <w:tcPr>
            <w:tcW w:w="1783" w:type="dxa"/>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1</w:t>
            </w:r>
          </w:p>
        </w:tc>
        <w:tc>
          <w:tcPr>
            <w:tcW w:w="1245" w:type="dxa"/>
            <w:noWrap w:val="0"/>
            <w:vAlign w:val="top"/>
          </w:tcPr>
          <w:p>
            <w:pPr>
              <w:widowControl/>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21" w:type="dxa"/>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3</w:t>
            </w:r>
          </w:p>
        </w:tc>
        <w:tc>
          <w:tcPr>
            <w:tcW w:w="2765" w:type="dxa"/>
            <w:noWrap w:val="0"/>
            <w:vAlign w:val="center"/>
          </w:tcPr>
          <w:p>
            <w:pPr>
              <w:widowControl/>
              <w:jc w:val="center"/>
              <w:textAlignment w:val="center"/>
              <w:rPr>
                <w:rFonts w:hint="default" w:ascii="宋体" w:hAnsi="宋体" w:eastAsia="宋体" w:cs="宋体"/>
                <w:color w:val="000000"/>
                <w:kern w:val="0"/>
                <w:sz w:val="21"/>
                <w:szCs w:val="21"/>
                <w:lang w:bidi="ar"/>
              </w:rPr>
            </w:pPr>
            <w:r>
              <w:rPr>
                <w:rFonts w:ascii="宋体" w:hAnsi="宋体" w:eastAsia="宋体" w:cs="宋体"/>
                <w:color w:val="000000"/>
                <w:kern w:val="0"/>
                <w:sz w:val="21"/>
                <w:szCs w:val="21"/>
                <w:lang w:bidi="ar"/>
              </w:rPr>
              <w:t>应急处治双排座小货车</w:t>
            </w:r>
          </w:p>
        </w:tc>
        <w:tc>
          <w:tcPr>
            <w:tcW w:w="1206" w:type="dxa"/>
            <w:noWrap w:val="0"/>
            <w:vAlign w:val="center"/>
          </w:tcPr>
          <w:p>
            <w:pPr>
              <w:widowControl/>
              <w:jc w:val="center"/>
              <w:textAlignment w:val="center"/>
              <w:rPr>
                <w:rFonts w:hint="default" w:ascii="宋体" w:hAnsi="宋体" w:eastAsia="宋体" w:cs="宋体"/>
                <w:color w:val="000000"/>
                <w:kern w:val="0"/>
                <w:sz w:val="21"/>
                <w:szCs w:val="21"/>
                <w:lang w:bidi="ar"/>
              </w:rPr>
            </w:pPr>
            <w:r>
              <w:rPr>
                <w:rFonts w:hint="default" w:ascii="宋体" w:hAnsi="宋体" w:eastAsia="宋体" w:cs="宋体"/>
                <w:color w:val="000000"/>
                <w:kern w:val="0"/>
                <w:sz w:val="21"/>
                <w:szCs w:val="21"/>
                <w:lang w:bidi="ar"/>
              </w:rPr>
              <w:t>台</w:t>
            </w:r>
          </w:p>
        </w:tc>
        <w:tc>
          <w:tcPr>
            <w:tcW w:w="1783" w:type="dxa"/>
            <w:noWrap w:val="0"/>
            <w:vAlign w:val="center"/>
          </w:tcPr>
          <w:p>
            <w:pPr>
              <w:widowControl/>
              <w:jc w:val="center"/>
              <w:textAlignment w:val="center"/>
              <w:rPr>
                <w:rFonts w:hint="default" w:ascii="宋体" w:hAnsi="宋体" w:eastAsia="宋体" w:cs="宋体"/>
                <w:color w:val="000000"/>
                <w:kern w:val="0"/>
                <w:sz w:val="21"/>
                <w:szCs w:val="21"/>
                <w:lang w:bidi="ar"/>
              </w:rPr>
            </w:pPr>
            <w:r>
              <w:rPr>
                <w:rFonts w:ascii="宋体" w:hAnsi="宋体" w:eastAsia="宋体" w:cs="宋体"/>
                <w:color w:val="000000"/>
                <w:kern w:val="0"/>
                <w:sz w:val="21"/>
                <w:szCs w:val="21"/>
                <w:lang w:bidi="ar"/>
              </w:rPr>
              <w:t>1</w:t>
            </w:r>
          </w:p>
        </w:tc>
        <w:tc>
          <w:tcPr>
            <w:tcW w:w="1245" w:type="dxa"/>
            <w:noWrap w:val="0"/>
            <w:vAlign w:val="top"/>
          </w:tcPr>
          <w:p>
            <w:pPr>
              <w:widowControl/>
              <w:jc w:val="center"/>
              <w:textAlignment w:val="center"/>
              <w:rPr>
                <w:rFonts w:ascii="宋体" w:hAnsi="宋体" w:cs="宋体"/>
                <w:color w:val="000000"/>
                <w:kern w:val="0"/>
                <w:sz w:val="21"/>
                <w:szCs w:val="21"/>
                <w:lang w:bidi="ar"/>
              </w:rPr>
            </w:pPr>
          </w:p>
        </w:tc>
      </w:tr>
    </w:tbl>
    <w:p>
      <w:pPr>
        <w:widowControl/>
        <w:jc w:val="left"/>
        <w:rPr>
          <w:rFonts w:hint="eastAsia" w:ascii="宋体" w:hAnsi="宋体" w:cs="宋体"/>
          <w:sz w:val="18"/>
          <w:szCs w:val="18"/>
          <w:u w:val="single"/>
        </w:rPr>
      </w:pPr>
      <w:r>
        <w:rPr>
          <w:rFonts w:hint="eastAsia" w:ascii="宋体" w:hAnsi="宋体" w:cs="宋体"/>
          <w:sz w:val="18"/>
          <w:szCs w:val="18"/>
        </w:rPr>
        <w:t>注：</w:t>
      </w:r>
      <w:r>
        <w:rPr>
          <w:rFonts w:hint="eastAsia" w:ascii="宋体" w:hAnsi="宋体" w:cs="宋体"/>
          <w:color w:val="FF0000"/>
          <w:kern w:val="0"/>
          <w:sz w:val="18"/>
          <w:szCs w:val="18"/>
          <w:u w:val="single"/>
          <w:lang w:bidi="ar"/>
        </w:rPr>
        <w:t>投标人应按招标文件第八章“投标文件格式”相应内容、表格及下注说明的要求在其投标文件中填写相关内容、表格；</w:t>
      </w:r>
      <w:r>
        <w:rPr>
          <w:rFonts w:hint="eastAsia" w:ascii="宋体" w:hAnsi="宋体" w:cs="宋体"/>
          <w:b/>
          <w:bCs/>
          <w:color w:val="FF0000"/>
          <w:sz w:val="20"/>
          <w:szCs w:val="20"/>
          <w:u w:val="single"/>
        </w:rPr>
        <w:t>其中标记有“*”的设备应附有效的证明材料复印件（自有设备需提供发票、租赁设备需提供租赁合同）</w:t>
      </w:r>
      <w:r>
        <w:rPr>
          <w:rFonts w:hint="eastAsia" w:ascii="宋体" w:hAnsi="宋体" w:cs="宋体"/>
          <w:color w:val="FF0000"/>
          <w:kern w:val="0"/>
          <w:sz w:val="18"/>
          <w:szCs w:val="18"/>
          <w:u w:val="single"/>
          <w:lang w:bidi="ar"/>
        </w:rPr>
        <w:t>。</w:t>
      </w:r>
      <w:r>
        <w:rPr>
          <w:rFonts w:hint="eastAsia" w:ascii="宋体" w:hAnsi="宋体" w:cs="宋体"/>
          <w:kern w:val="0"/>
          <w:sz w:val="18"/>
          <w:szCs w:val="18"/>
          <w:u w:val="single"/>
          <w:lang w:bidi="ar"/>
        </w:rPr>
        <w:t>如未按要求填写的，评标委员会在对其投标进行评审时将不予通过</w:t>
      </w:r>
      <w:r>
        <w:rPr>
          <w:rFonts w:hint="eastAsia" w:ascii="宋体" w:hAnsi="宋体" w:cs="宋体"/>
          <w:sz w:val="18"/>
          <w:szCs w:val="18"/>
        </w:rPr>
        <w:t>。</w:t>
      </w:r>
    </w:p>
    <w:p>
      <w:pPr>
        <w:widowControl/>
        <w:spacing w:line="240" w:lineRule="auto"/>
        <w:jc w:val="left"/>
        <w:rPr>
          <w:rFonts w:hint="eastAsia" w:ascii="宋体" w:hAnsi="宋体" w:cs="宋体"/>
          <w:bCs/>
          <w:kern w:val="0"/>
          <w:szCs w:val="20"/>
        </w:rPr>
        <w:sectPr>
          <w:footerReference r:id="rId8" w:type="default"/>
          <w:footnotePr>
            <w:numFmt w:val="decimalEnclosedCircleChinese"/>
            <w:numRestart w:val="eachPage"/>
          </w:footnotePr>
          <w:pgSz w:w="11907" w:h="16840"/>
          <w:pgMar w:top="1417" w:right="1417" w:bottom="1417" w:left="1417" w:header="850" w:footer="850" w:gutter="0"/>
          <w:cols w:space="720" w:num="1"/>
          <w:docGrid w:linePitch="312" w:charSpace="0"/>
        </w:sectPr>
      </w:pPr>
    </w:p>
    <w:p>
      <w:pPr>
        <w:pStyle w:val="7"/>
        <w:rPr>
          <w:rFonts w:hint="eastAsia" w:ascii="宋体" w:hAnsi="宋体" w:eastAsia="宋体" w:cs="宋体"/>
          <w:iCs w:val="0"/>
        </w:rPr>
      </w:pPr>
      <w:bookmarkStart w:id="26" w:name="_Toc10115"/>
      <w:bookmarkStart w:id="27" w:name="_Toc12966"/>
      <w:bookmarkStart w:id="28" w:name="_Toc1407"/>
      <w:r>
        <w:rPr>
          <w:rFonts w:hint="eastAsia" w:ascii="宋体" w:hAnsi="宋体" w:eastAsia="宋体" w:cs="宋体"/>
          <w:iCs w:val="0"/>
        </w:rPr>
        <w:t>附录6  资格审查条件(业绩最低要求)</w:t>
      </w:r>
      <w:bookmarkEnd w:id="26"/>
      <w:bookmarkEnd w:id="27"/>
      <w:bookmarkEnd w:id="28"/>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960" w:type="dxa"/>
            <w:noWrap w:val="0"/>
            <w:vAlign w:val="center"/>
          </w:tcPr>
          <w:p>
            <w:pPr>
              <w:spacing w:line="240" w:lineRule="auto"/>
              <w:jc w:val="center"/>
              <w:rPr>
                <w:rFonts w:ascii="宋体" w:hAnsi="宋体" w:cs="宋体"/>
                <w:b/>
              </w:rPr>
            </w:pPr>
            <w:r>
              <w:rPr>
                <w:rFonts w:ascii="宋体" w:hAnsi="宋体" w:cs="宋体"/>
                <w:b/>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8960" w:type="dxa"/>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近5年承担过1项高速公路养护施工业绩。</w:t>
            </w:r>
          </w:p>
        </w:tc>
      </w:tr>
    </w:tbl>
    <w:p>
      <w:pPr>
        <w:widowControl/>
        <w:jc w:val="left"/>
        <w:rPr>
          <w:rFonts w:hint="eastAsia" w:ascii="宋体" w:hAnsi="宋体" w:cs="宋体"/>
          <w:sz w:val="20"/>
          <w:szCs w:val="20"/>
        </w:rPr>
      </w:pPr>
      <w:r>
        <w:rPr>
          <w:rFonts w:hint="eastAsia" w:ascii="宋体" w:hAnsi="宋体" w:cs="宋体"/>
          <w:sz w:val="18"/>
          <w:szCs w:val="18"/>
        </w:rPr>
        <w:t>注：</w:t>
      </w:r>
      <w:r>
        <w:rPr>
          <w:rFonts w:hint="eastAsia" w:ascii="宋体" w:hAnsi="宋体" w:cs="宋体"/>
          <w:sz w:val="18"/>
          <w:szCs w:val="18"/>
          <w:u w:val="single"/>
        </w:rPr>
        <w:t>1.</w:t>
      </w:r>
      <w:r>
        <w:rPr>
          <w:rFonts w:hint="eastAsia" w:ascii="宋体" w:hAnsi="宋体" w:cs="宋体"/>
          <w:color w:val="FF0000"/>
          <w:sz w:val="18"/>
          <w:szCs w:val="18"/>
          <w:u w:val="single"/>
        </w:rPr>
        <w:t>投标人应按招标文件第八章“投标文件格式”相应内容、表格及下注说明的要求在其投标文件中填写相关内容、表格并在相应位置提供要求的证明材料。</w:t>
      </w:r>
      <w:r>
        <w:rPr>
          <w:rFonts w:hint="eastAsia" w:ascii="宋体" w:hAnsi="宋体" w:cs="宋体"/>
          <w:sz w:val="18"/>
          <w:szCs w:val="18"/>
          <w:u w:val="single"/>
        </w:rPr>
        <w:t>如未按要求填写或未按要求提供要求的证明材料的或提供的证明材料不满足要求或不足以证明其满足要求的，评标委员会在对其投标进行评审时将不予通过；</w:t>
      </w:r>
      <w:r>
        <w:rPr>
          <w:rFonts w:hint="eastAsia" w:ascii="宋体" w:hAnsi="宋体" w:cs="宋体"/>
          <w:color w:val="FF0000"/>
          <w:sz w:val="18"/>
          <w:szCs w:val="18"/>
          <w:u w:val="single"/>
        </w:rPr>
        <w:t>2.本招标公告及招标文件所指的近五年，即合同签订时间为2017年01月01日至递交投标文件的截止时间前一日</w:t>
      </w:r>
      <w:r>
        <w:rPr>
          <w:rFonts w:hint="eastAsia" w:ascii="宋体" w:hAnsi="宋体" w:cs="宋体"/>
          <w:color w:val="FF0000"/>
          <w:sz w:val="18"/>
          <w:szCs w:val="18"/>
        </w:rPr>
        <w:t>。</w:t>
      </w:r>
    </w:p>
    <w:p>
      <w:pPr>
        <w:spacing w:line="200" w:lineRule="exact"/>
        <w:jc w:val="center"/>
        <w:rPr>
          <w:rStyle w:val="19"/>
          <w:rFonts w:hint="eastAsia" w:ascii="宋体" w:hAnsi="宋体" w:eastAsia="宋体" w:cs="宋体"/>
          <w:sz w:val="42"/>
          <w:szCs w:val="42"/>
        </w:rPr>
      </w:pPr>
    </w:p>
    <w:p>
      <w:pPr>
        <w:widowControl/>
        <w:jc w:val="left"/>
        <w:rPr>
          <w:rFonts w:hint="eastAsia" w:ascii="宋体" w:hAnsi="宋体" w:cs="宋体"/>
          <w:szCs w:val="21"/>
        </w:rPr>
      </w:pPr>
      <w:bookmarkStart w:id="29" w:name="_Toc524882209"/>
      <w:bookmarkStart w:id="30" w:name="_Toc531701372"/>
      <w:bookmarkStart w:id="31" w:name="_Toc517965191"/>
      <w:bookmarkStart w:id="32" w:name="_Toc531701499"/>
    </w:p>
    <w:bookmarkEnd w:id="29"/>
    <w:bookmarkEnd w:id="30"/>
    <w:bookmarkEnd w:id="31"/>
    <w:bookmarkEnd w:id="32"/>
    <w:p>
      <w:bookmarkStart w:id="33" w:name="_GoBack"/>
      <w:bookmarkEnd w:id="33"/>
    </w:p>
    <w:sectPr>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pPr>
                      <w:pStyle w:val="8"/>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- 8 -</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- 8 -</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ZiZGU4YjZhMjFmOTMwZmFkYzkwZTUwNDYzMWQifQ=="/>
  </w:docVars>
  <w:rsids>
    <w:rsidRoot w:val="42DB717E"/>
    <w:rsid w:val="085211B5"/>
    <w:rsid w:val="14FF08EA"/>
    <w:rsid w:val="19B53514"/>
    <w:rsid w:val="3DA234DD"/>
    <w:rsid w:val="42DB717E"/>
    <w:rsid w:val="4E304B8D"/>
    <w:rsid w:val="6776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6">
    <w:name w:val="heading 1"/>
    <w:basedOn w:val="1"/>
    <w:next w:val="1"/>
    <w:qFormat/>
    <w:uiPriority w:val="0"/>
    <w:pPr>
      <w:keepNext/>
      <w:keepLines/>
      <w:spacing w:before="200" w:beforeLines="0" w:after="200" w:afterLines="0" w:line="400" w:lineRule="exact"/>
      <w:jc w:val="left"/>
      <w:outlineLvl w:val="0"/>
    </w:pPr>
    <w:rPr>
      <w:rFonts w:eastAsia="黑体"/>
      <w:bCs/>
      <w:kern w:val="44"/>
      <w:szCs w:val="44"/>
    </w:rPr>
  </w:style>
  <w:style w:type="paragraph" w:styleId="7">
    <w:name w:val="heading 3"/>
    <w:basedOn w:val="1"/>
    <w:next w:val="1"/>
    <w:qFormat/>
    <w:uiPriority w:val="0"/>
    <w:pPr>
      <w:widowControl/>
      <w:spacing w:before="120" w:beforeLines="0" w:after="120" w:afterLines="0" w:line="360" w:lineRule="auto"/>
      <w:outlineLvl w:val="2"/>
    </w:pPr>
    <w:rPr>
      <w:rFonts w:eastAsia="黑体"/>
      <w:bCs/>
      <w:iCs/>
      <w:kern w:val="0"/>
      <w:szCs w:val="20"/>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afterLines="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after="120" w:afterLines="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line="240" w:lineRule="auto"/>
      <w:jc w:val="left"/>
    </w:pPr>
    <w:rPr>
      <w:kern w:val="0"/>
    </w:rPr>
  </w:style>
  <w:style w:type="paragraph" w:styleId="11">
    <w:name w:val="Title"/>
    <w:basedOn w:val="1"/>
    <w:link w:val="19"/>
    <w:qFormat/>
    <w:uiPriority w:val="0"/>
    <w:pPr>
      <w:adjustRightInd w:val="0"/>
      <w:spacing w:before="240" w:beforeLines="0" w:after="60" w:afterLines="0" w:line="420" w:lineRule="atLeast"/>
      <w:jc w:val="center"/>
      <w:textAlignment w:val="baseline"/>
      <w:outlineLvl w:val="0"/>
    </w:pPr>
    <w:rPr>
      <w:rFonts w:ascii="Arial" w:hAnsi="Arial" w:eastAsia="黑体"/>
      <w:b/>
      <w:kern w:val="0"/>
      <w:sz w:val="44"/>
      <w:szCs w:val="20"/>
    </w:rPr>
  </w:style>
  <w:style w:type="character" w:customStyle="1" w:styleId="14">
    <w:name w:val="font41"/>
    <w:basedOn w:val="13"/>
    <w:qFormat/>
    <w:uiPriority w:val="0"/>
    <w:rPr>
      <w:rFonts w:hint="eastAsia" w:ascii="宋体" w:hAnsi="宋体" w:eastAsia="宋体" w:cs="宋体"/>
      <w:color w:val="000000"/>
      <w:sz w:val="21"/>
      <w:szCs w:val="21"/>
      <w:u w:val="none"/>
    </w:rPr>
  </w:style>
  <w:style w:type="character" w:customStyle="1" w:styleId="15">
    <w:name w:val="font21"/>
    <w:qFormat/>
    <w:uiPriority w:val="0"/>
    <w:rPr>
      <w:rFonts w:hint="eastAsia" w:ascii="宋体" w:hAnsi="宋体" w:eastAsia="宋体" w:cs="宋体"/>
      <w:b/>
      <w:bCs/>
      <w:color w:val="000000"/>
      <w:sz w:val="21"/>
      <w:szCs w:val="21"/>
      <w:u w:val="none"/>
    </w:rPr>
  </w:style>
  <w:style w:type="character" w:customStyle="1" w:styleId="16">
    <w:name w:val="标题 字符"/>
    <w:link w:val="11"/>
    <w:qFormat/>
    <w:uiPriority w:val="0"/>
    <w:rPr>
      <w:rFonts w:ascii="Arial" w:hAnsi="Arial" w:eastAsia="黑体"/>
      <w:b/>
      <w:kern w:val="0"/>
      <w:sz w:val="44"/>
      <w:szCs w:val="20"/>
    </w:rPr>
  </w:style>
  <w:style w:type="character" w:customStyle="1" w:styleId="17">
    <w:name w:val="无 A"/>
    <w:qFormat/>
    <w:uiPriority w:val="0"/>
  </w:style>
  <w:style w:type="character" w:customStyle="1" w:styleId="18">
    <w:name w:val="Hyperlink.2"/>
    <w:qFormat/>
    <w:uiPriority w:val="0"/>
    <w:rPr>
      <w:lang w:val="en-US"/>
    </w:rPr>
  </w:style>
  <w:style w:type="character" w:customStyle="1" w:styleId="19">
    <w:name w:val="标题 Char"/>
    <w:link w:val="11"/>
    <w:uiPriority w:val="0"/>
    <w:rPr>
      <w:rFonts w:ascii="Arial" w:hAnsi="Arial" w:eastAsia="黑体"/>
      <w:b/>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1806</Words>
  <Characters>1922</Characters>
  <Lines>0</Lines>
  <Paragraphs>0</Paragraphs>
  <TotalTime>0</TotalTime>
  <ScaleCrop>false</ScaleCrop>
  <LinksUpToDate>false</LinksUpToDate>
  <CharactersWithSpaces>1945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2022-08-05T07:19:00Z</dcterms:created>
  <dc:creator>吴大为</dc:creator>
  <cp:lastModifiedBy>Administrator</cp:lastModifiedBy>
  <dcterms:modified xsi:type="dcterms:W3CDTF">2022-09-14T12:53:47Z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52DC01A86E6442A4B35FFC1C96AFF746</vt:lpwstr>
  </property>
</Properties>
</file>