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宋体" w:hAnsi="宋体" w:eastAsia="宋体" w:cs="宋体"/>
          <w:szCs w:val="28"/>
        </w:rPr>
      </w:pPr>
      <w:bookmarkStart w:id="0" w:name="_Toc2847"/>
      <w:bookmarkStart w:id="1" w:name="_Toc14937"/>
      <w:r>
        <w:rPr>
          <w:rFonts w:hint="eastAsia" w:ascii="宋体" w:hAnsi="宋体" w:eastAsia="宋体" w:cs="宋体"/>
        </w:rPr>
        <w:t>附 录：</w:t>
      </w:r>
      <w:bookmarkEnd w:id="0"/>
      <w:bookmarkEnd w:id="1"/>
    </w:p>
    <w:p>
      <w:pPr>
        <w:pStyle w:val="5"/>
        <w:rPr>
          <w:rFonts w:hint="eastAsia" w:ascii="宋体" w:hAnsi="宋体" w:eastAsia="宋体" w:cs="宋体"/>
          <w:iCs w:val="0"/>
        </w:rPr>
      </w:pPr>
      <w:bookmarkStart w:id="2" w:name="_Toc25298"/>
      <w:bookmarkStart w:id="3" w:name="_Toc14185"/>
      <w:bookmarkStart w:id="4" w:name="_Toc531859200"/>
      <w:bookmarkStart w:id="5" w:name="_Toc14816"/>
      <w:bookmarkStart w:id="6" w:name="_Toc533720421"/>
      <w:r>
        <w:rPr>
          <w:rFonts w:hint="eastAsia" w:ascii="宋体" w:hAnsi="宋体" w:eastAsia="宋体" w:cs="宋体"/>
          <w:iCs w:val="0"/>
        </w:rPr>
        <w:t>附录1  资格审查条件(资质最低要求)</w:t>
      </w:r>
      <w:bookmarkEnd w:id="2"/>
      <w:bookmarkEnd w:id="3"/>
      <w:bookmarkEnd w:id="4"/>
      <w:bookmarkEnd w:id="5"/>
      <w:bookmarkEnd w:id="6"/>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5" w:hRule="atLeast"/>
          <w:jc w:val="center"/>
        </w:trPr>
        <w:tc>
          <w:tcPr>
            <w:tcW w:w="1935" w:type="dxa"/>
            <w:noWrap w:val="0"/>
            <w:vAlign w:val="center"/>
          </w:tcPr>
          <w:p>
            <w:pPr>
              <w:jc w:val="center"/>
              <w:rPr>
                <w:rFonts w:ascii="宋体" w:hAnsi="宋体" w:cs="宋体"/>
                <w:bCs/>
              </w:rPr>
            </w:pPr>
            <w:r>
              <w:rPr>
                <w:rFonts w:ascii="宋体" w:hAnsi="宋体" w:cs="宋体"/>
                <w:bCs/>
              </w:rPr>
              <w:t>标段号</w:t>
            </w:r>
          </w:p>
        </w:tc>
        <w:tc>
          <w:tcPr>
            <w:tcW w:w="7054" w:type="dxa"/>
            <w:noWrap w:val="0"/>
            <w:vAlign w:val="center"/>
          </w:tcPr>
          <w:p>
            <w:pPr>
              <w:jc w:val="center"/>
              <w:rPr>
                <w:rFonts w:ascii="宋体" w:hAnsi="宋体" w:cs="宋体"/>
                <w:bCs/>
              </w:rPr>
            </w:pPr>
            <w:r>
              <w:rPr>
                <w:rFonts w:ascii="宋体" w:hAnsi="宋体" w:cs="宋体"/>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1935" w:type="dxa"/>
            <w:noWrap w:val="0"/>
            <w:vAlign w:val="center"/>
          </w:tcPr>
          <w:p>
            <w:pPr>
              <w:jc w:val="center"/>
              <w:rPr>
                <w:rFonts w:ascii="宋体" w:hAnsi="宋体" w:cs="宋体"/>
              </w:rPr>
            </w:pPr>
            <w:r>
              <w:rPr>
                <w:rFonts w:ascii="宋体" w:hAnsi="宋体" w:cs="宋体"/>
              </w:rPr>
              <w:t>所有标段</w:t>
            </w:r>
          </w:p>
        </w:tc>
        <w:tc>
          <w:tcPr>
            <w:tcW w:w="7054" w:type="dxa"/>
            <w:noWrap w:val="0"/>
            <w:vAlign w:val="center"/>
          </w:tcPr>
          <w:p>
            <w:pPr>
              <w:rPr>
                <w:rFonts w:ascii="宋体" w:hAnsi="宋体" w:cs="宋体"/>
              </w:rPr>
            </w:pPr>
            <w:r>
              <w:rPr>
                <w:rFonts w:ascii="宋体" w:hAnsi="宋体" w:cs="宋体"/>
              </w:rPr>
              <w:t>须具备湖北省高速公路实业开发有限公司协作单位资源库</w:t>
            </w:r>
            <w:r>
              <w:rPr>
                <w:rFonts w:ascii="宋体" w:hAnsi="宋体" w:cs="宋体"/>
                <w:b/>
                <w:bCs/>
                <w:color w:val="FF0000"/>
                <w:kern w:val="1"/>
              </w:rPr>
              <w:t>GK-3(桥涵专项）</w:t>
            </w:r>
            <w:r>
              <w:rPr>
                <w:rFonts w:ascii="宋体" w:hAnsi="宋体" w:cs="宋体"/>
              </w:rPr>
              <w:t>协作单位。</w:t>
            </w:r>
          </w:p>
        </w:tc>
      </w:tr>
    </w:tbl>
    <w:p>
      <w:pPr>
        <w:widowControl/>
        <w:jc w:val="left"/>
        <w:rPr>
          <w:rFonts w:hint="eastAsia" w:ascii="宋体" w:hAnsi="宋体" w:cs="宋体"/>
          <w:sz w:val="18"/>
          <w:szCs w:val="18"/>
        </w:rPr>
      </w:pPr>
      <w:r>
        <w:rPr>
          <w:rFonts w:hint="eastAsia" w:ascii="宋体" w:hAnsi="宋体" w:cs="宋体"/>
          <w:sz w:val="18"/>
          <w:szCs w:val="18"/>
        </w:rPr>
        <w:t>注：</w:t>
      </w:r>
      <w:r>
        <w:rPr>
          <w:rFonts w:hint="eastAsia" w:ascii="宋体" w:hAnsi="宋体" w:cs="宋体"/>
          <w:b/>
          <w:bCs/>
          <w:color w:val="FF0000"/>
          <w:sz w:val="21"/>
          <w:szCs w:val="21"/>
          <w:u w:val="single"/>
        </w:rPr>
        <w:t>提供入围通知书复印件或其他证明材料</w:t>
      </w:r>
      <w:r>
        <w:rPr>
          <w:rFonts w:hint="eastAsia" w:ascii="宋体" w:hAnsi="宋体" w:cs="宋体"/>
          <w:sz w:val="18"/>
          <w:szCs w:val="18"/>
        </w:rPr>
        <w:t>。</w:t>
      </w:r>
    </w:p>
    <w:p>
      <w:pPr>
        <w:pStyle w:val="5"/>
        <w:rPr>
          <w:rFonts w:hint="eastAsia" w:ascii="宋体" w:hAnsi="宋体" w:eastAsia="宋体" w:cs="宋体"/>
          <w:iCs w:val="0"/>
        </w:rPr>
        <w:sectPr>
          <w:footerReference r:id="rId5" w:type="default"/>
          <w:footerReference r:id="rId6" w:type="even"/>
          <w:footnotePr>
            <w:numFmt w:val="decimalEnclosedCircleChinese"/>
            <w:numRestart w:val="eachPage"/>
          </w:footnotePr>
          <w:pgSz w:w="11907" w:h="16840"/>
          <w:pgMar w:top="1417" w:right="1417" w:bottom="1417" w:left="1417" w:header="850" w:footer="850" w:gutter="0"/>
          <w:cols w:space="720" w:num="1"/>
          <w:docGrid w:linePitch="312" w:charSpace="0"/>
        </w:sectPr>
      </w:pPr>
      <w:bookmarkStart w:id="7" w:name="_Toc30142"/>
      <w:bookmarkStart w:id="8" w:name="_Toc533720424"/>
      <w:bookmarkStart w:id="9" w:name="_Toc25022"/>
      <w:bookmarkStart w:id="10" w:name="_Toc10241"/>
      <w:bookmarkStart w:id="11" w:name="_Toc531859203"/>
    </w:p>
    <w:p>
      <w:pPr>
        <w:pStyle w:val="5"/>
        <w:rPr>
          <w:rFonts w:hint="eastAsia" w:ascii="宋体" w:hAnsi="宋体" w:eastAsia="宋体" w:cs="宋体"/>
          <w:iCs w:val="0"/>
        </w:rPr>
      </w:pPr>
      <w:r>
        <w:rPr>
          <w:rFonts w:hint="eastAsia" w:ascii="宋体" w:hAnsi="宋体" w:eastAsia="宋体" w:cs="宋体"/>
          <w:iCs w:val="0"/>
        </w:rPr>
        <w:t>附录2  资格审查条件(信誉最低要求)</w:t>
      </w:r>
      <w:bookmarkEnd w:id="7"/>
      <w:bookmarkEnd w:id="8"/>
      <w:bookmarkEnd w:id="9"/>
      <w:bookmarkEnd w:id="10"/>
      <w:bookmarkEnd w:id="11"/>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7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452" w:type="dxa"/>
            <w:noWrap w:val="0"/>
            <w:vAlign w:val="center"/>
          </w:tcPr>
          <w:p>
            <w:pPr>
              <w:jc w:val="center"/>
              <w:rPr>
                <w:rFonts w:ascii="宋体" w:hAnsi="宋体" w:cs="宋体"/>
                <w:b/>
              </w:rPr>
            </w:pPr>
            <w:r>
              <w:rPr>
                <w:rFonts w:ascii="宋体" w:hAnsi="宋体" w:cs="宋体"/>
                <w:b/>
              </w:rPr>
              <w:t>标段号</w:t>
            </w:r>
          </w:p>
        </w:tc>
        <w:tc>
          <w:tcPr>
            <w:tcW w:w="7478" w:type="dxa"/>
            <w:noWrap w:val="0"/>
            <w:vAlign w:val="center"/>
          </w:tcPr>
          <w:p>
            <w:pPr>
              <w:adjustRightInd w:val="0"/>
              <w:snapToGrid w:val="0"/>
              <w:spacing w:line="400" w:lineRule="atLeast"/>
              <w:jc w:val="center"/>
              <w:rPr>
                <w:rFonts w:ascii="宋体" w:hAnsi="宋体" w:cs="宋体"/>
                <w:b/>
              </w:rPr>
            </w:pPr>
            <w:r>
              <w:rPr>
                <w:rFonts w:ascii="宋体" w:hAnsi="宋体" w:cs="宋体"/>
                <w:b/>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5" w:hRule="atLeast"/>
          <w:jc w:val="center"/>
        </w:trPr>
        <w:tc>
          <w:tcPr>
            <w:tcW w:w="1452" w:type="dxa"/>
            <w:noWrap w:val="0"/>
            <w:vAlign w:val="center"/>
          </w:tcPr>
          <w:p>
            <w:pPr>
              <w:jc w:val="center"/>
              <w:rPr>
                <w:rFonts w:ascii="宋体" w:hAnsi="宋体" w:cs="宋体"/>
                <w:sz w:val="22"/>
                <w:szCs w:val="22"/>
              </w:rPr>
            </w:pPr>
            <w:r>
              <w:rPr>
                <w:rFonts w:ascii="宋体" w:hAnsi="宋体" w:cs="宋体"/>
                <w:sz w:val="22"/>
                <w:szCs w:val="22"/>
              </w:rPr>
              <w:t>所有标段</w:t>
            </w:r>
          </w:p>
        </w:tc>
        <w:tc>
          <w:tcPr>
            <w:tcW w:w="7478" w:type="dxa"/>
            <w:noWrap w:val="0"/>
            <w:vAlign w:val="center"/>
          </w:tcPr>
          <w:p>
            <w:pPr>
              <w:spacing w:line="360" w:lineRule="auto"/>
              <w:rPr>
                <w:rFonts w:ascii="宋体" w:hAnsi="宋体" w:cs="宋体"/>
                <w:sz w:val="22"/>
                <w:szCs w:val="22"/>
              </w:rPr>
            </w:pPr>
            <w:r>
              <w:rPr>
                <w:rFonts w:ascii="宋体" w:hAnsi="宋体" w:cs="宋体"/>
                <w:sz w:val="22"/>
                <w:szCs w:val="22"/>
              </w:rPr>
              <w:t>投标人不得存在下列不良状况或不良信用记录：</w:t>
            </w:r>
          </w:p>
          <w:p>
            <w:pPr>
              <w:widowControl/>
              <w:spacing w:line="360" w:lineRule="auto"/>
            </w:pPr>
            <w:r>
              <w:t>1.处于被责令停业、接管或清算、破产状态；</w:t>
            </w:r>
          </w:p>
          <w:p>
            <w:pPr>
              <w:widowControl/>
              <w:spacing w:line="360" w:lineRule="auto"/>
            </w:pPr>
            <w:r>
              <w:t>2.处于被行业主管部门（如交通运输部或湖北省交通运输主管部门）作出禁止进入公路建设市场的处罚且处于有效期内；</w:t>
            </w:r>
          </w:p>
          <w:p>
            <w:pPr>
              <w:widowControl/>
              <w:spacing w:line="360" w:lineRule="auto"/>
            </w:pPr>
            <w:r>
              <w:t>3.存在下列不良状况或不良信用记录：</w:t>
            </w:r>
          </w:p>
          <w:p>
            <w:pPr>
              <w:widowControl/>
              <w:spacing w:line="360" w:lineRule="auto"/>
            </w:pPr>
            <w:r>
              <w:t>（1）在国家企业信用信息公示系统（http://www.gsxt.gov.cn/）中被列入严重违法失信企业名单的；</w:t>
            </w:r>
          </w:p>
          <w:p>
            <w:pPr>
              <w:widowControl/>
              <w:spacing w:line="360" w:lineRule="auto"/>
            </w:pPr>
            <w:r>
              <w:t>（2）在“中国执行信息公开网”（http://zxgk.court.gov.cn/）中被列入失信被执行人名单；</w:t>
            </w:r>
          </w:p>
          <w:p>
            <w:pPr>
              <w:widowControl/>
              <w:spacing w:line="360" w:lineRule="auto"/>
            </w:pPr>
            <w:r>
              <w:t>（3）投标人或其法定代表人、拟委任的项目负责人在近三年内有行贿犯罪行为的；</w:t>
            </w:r>
          </w:p>
          <w:p>
            <w:pPr>
              <w:widowControl/>
              <w:spacing w:line="360" w:lineRule="auto"/>
              <w:rPr>
                <w:szCs w:val="22"/>
              </w:rPr>
            </w:pPr>
            <w:r>
              <w:t>（4）在“信用中国”网站（http://www.creditchina.gov.cn/）中被列为</w:t>
            </w:r>
            <w:r>
              <w:rPr>
                <w:szCs w:val="22"/>
              </w:rPr>
              <w:t>严重失信主体名单，且按联合惩戒要求禁止参与招投标的；</w:t>
            </w:r>
          </w:p>
          <w:p>
            <w:pPr>
              <w:pStyle w:val="8"/>
              <w:adjustRightInd w:val="0"/>
              <w:snapToGrid w:val="0"/>
              <w:spacing w:before="0" w:beforeAutospacing="0" w:after="0" w:afterAutospacing="0" w:line="360" w:lineRule="auto"/>
              <w:jc w:val="both"/>
            </w:pPr>
            <w:r>
              <w:rPr>
                <w:szCs w:val="22"/>
              </w:rPr>
              <w:t>（5）</w:t>
            </w:r>
            <w:r>
              <w:t>上一年度被列入高开公司考核不合格的协作单位；</w:t>
            </w:r>
          </w:p>
          <w:p>
            <w:pPr>
              <w:pStyle w:val="8"/>
              <w:adjustRightInd w:val="0"/>
              <w:snapToGrid w:val="0"/>
              <w:spacing w:before="0" w:beforeAutospacing="0" w:after="0" w:afterAutospacing="0" w:line="360" w:lineRule="auto"/>
              <w:jc w:val="both"/>
            </w:pPr>
            <w:r>
              <w:t>（6）近三年度被列入高开公司黑名单的协作单位。</w:t>
            </w:r>
          </w:p>
        </w:tc>
      </w:tr>
    </w:tbl>
    <w:p>
      <w:pPr>
        <w:widowControl/>
        <w:jc w:val="left"/>
        <w:rPr>
          <w:rFonts w:hint="eastAsia" w:ascii="宋体" w:hAnsi="宋体" w:cs="宋体"/>
          <w:sz w:val="18"/>
          <w:szCs w:val="18"/>
        </w:rPr>
      </w:pPr>
      <w:r>
        <w:rPr>
          <w:rFonts w:hint="eastAsia" w:ascii="宋体" w:hAnsi="宋体" w:cs="宋体"/>
          <w:sz w:val="18"/>
          <w:szCs w:val="18"/>
        </w:rPr>
        <w:t>注：</w:t>
      </w:r>
      <w:r>
        <w:rPr>
          <w:rFonts w:hint="eastAsia" w:ascii="宋体" w:hAnsi="宋体" w:cs="宋体"/>
          <w:color w:val="FF0000"/>
          <w:kern w:val="0"/>
          <w:sz w:val="18"/>
          <w:szCs w:val="18"/>
          <w:u w:val="single"/>
        </w:rPr>
        <w:t>投标人应按招标文件第八章“投标文件格式”相应内容、表格及下注说明的要求在其投标文件中填写相关内容、表格并在相应位置提供要求的证书、证明材料</w:t>
      </w:r>
      <w:r>
        <w:rPr>
          <w:rFonts w:hint="eastAsia" w:ascii="宋体" w:hAnsi="宋体" w:cs="宋体"/>
          <w:kern w:val="0"/>
          <w:sz w:val="18"/>
          <w:szCs w:val="18"/>
          <w:u w:val="single"/>
        </w:rPr>
        <w:t>。如未按要求填写或未按要求提供要求的证书、证明材料的或提供的证书、证明材料不满足要求或不足以证明其满足要求的，评标委员会在对其投标进行评审时将不予通过</w:t>
      </w:r>
      <w:r>
        <w:rPr>
          <w:rFonts w:hint="eastAsia" w:ascii="宋体" w:hAnsi="宋体" w:cs="宋体"/>
          <w:kern w:val="0"/>
          <w:sz w:val="18"/>
          <w:szCs w:val="18"/>
        </w:rPr>
        <w:t>。</w:t>
      </w:r>
    </w:p>
    <w:p>
      <w:pPr>
        <w:widowControl/>
        <w:ind w:firstLine="420"/>
        <w:jc w:val="left"/>
        <w:rPr>
          <w:rFonts w:hint="eastAsia" w:ascii="宋体" w:hAnsi="宋体" w:cs="宋体"/>
          <w:szCs w:val="21"/>
        </w:rPr>
      </w:pPr>
    </w:p>
    <w:p>
      <w:pPr>
        <w:pStyle w:val="2"/>
        <w:ind w:left="480" w:firstLine="480"/>
        <w:rPr>
          <w:rFonts w:hint="eastAsia" w:ascii="宋体" w:hAnsi="宋体" w:cs="宋体"/>
        </w:rPr>
      </w:pPr>
    </w:p>
    <w:p>
      <w:pPr>
        <w:widowControl/>
        <w:ind w:firstLine="420"/>
        <w:jc w:val="left"/>
        <w:rPr>
          <w:rFonts w:hint="eastAsia" w:ascii="宋体" w:hAnsi="宋体" w:cs="宋体"/>
          <w:szCs w:val="21"/>
        </w:rPr>
      </w:pPr>
    </w:p>
    <w:p>
      <w:pPr>
        <w:pStyle w:val="2"/>
        <w:ind w:left="480" w:firstLine="480"/>
        <w:rPr>
          <w:rFonts w:hint="eastAsia" w:ascii="宋体" w:hAnsi="宋体" w:cs="宋体"/>
        </w:rPr>
      </w:pPr>
    </w:p>
    <w:p>
      <w:pPr>
        <w:pStyle w:val="2"/>
        <w:ind w:left="480" w:firstLine="480"/>
        <w:rPr>
          <w:rFonts w:hint="eastAsia" w:ascii="宋体" w:hAnsi="宋体" w:cs="宋体"/>
        </w:rPr>
      </w:pPr>
    </w:p>
    <w:p>
      <w:pPr>
        <w:pStyle w:val="5"/>
        <w:rPr>
          <w:rFonts w:hint="eastAsia" w:ascii="宋体" w:hAnsi="宋体" w:eastAsia="宋体" w:cs="宋体"/>
          <w:iCs w:val="0"/>
        </w:rPr>
        <w:sectPr>
          <w:footnotePr>
            <w:numFmt w:val="decimalEnclosedCircleChinese"/>
            <w:numRestart w:val="eachPage"/>
          </w:footnotePr>
          <w:pgSz w:w="11907" w:h="16840"/>
          <w:pgMar w:top="1417" w:right="1417" w:bottom="1417" w:left="1417" w:header="850" w:footer="850" w:gutter="0"/>
          <w:cols w:space="720" w:num="1"/>
          <w:docGrid w:linePitch="312" w:charSpace="0"/>
        </w:sectPr>
      </w:pPr>
      <w:bookmarkStart w:id="12" w:name="_Toc533720426"/>
      <w:bookmarkStart w:id="13" w:name="_Toc739"/>
      <w:bookmarkStart w:id="14" w:name="_Toc800"/>
    </w:p>
    <w:p>
      <w:pPr>
        <w:pStyle w:val="5"/>
        <w:rPr>
          <w:rFonts w:hint="eastAsia" w:ascii="宋体" w:hAnsi="宋体" w:eastAsia="宋体" w:cs="宋体"/>
          <w:iCs w:val="0"/>
        </w:rPr>
      </w:pPr>
      <w:bookmarkStart w:id="15" w:name="_Toc24881"/>
      <w:bookmarkStart w:id="16" w:name="_Toc28597"/>
      <w:r>
        <w:rPr>
          <w:rFonts w:hint="eastAsia" w:ascii="宋体" w:hAnsi="宋体" w:eastAsia="宋体" w:cs="宋体"/>
          <w:iCs w:val="0"/>
        </w:rPr>
        <w:t>附录</w:t>
      </w:r>
      <w:r>
        <w:rPr>
          <w:rFonts w:hint="eastAsia" w:ascii="宋体" w:hAnsi="宋体" w:eastAsia="宋体" w:cs="宋体"/>
          <w:iCs w:val="0"/>
          <w:lang w:val="en-US" w:eastAsia="zh-CN"/>
        </w:rPr>
        <w:t>3</w:t>
      </w:r>
      <w:r>
        <w:rPr>
          <w:rFonts w:hint="eastAsia" w:ascii="宋体" w:hAnsi="宋体" w:eastAsia="宋体" w:cs="宋体"/>
          <w:iCs w:val="0"/>
        </w:rPr>
        <w:t xml:space="preserve">  资格审查条件(财务最低要求)</w:t>
      </w:r>
      <w:bookmarkEnd w:id="15"/>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935" w:type="dxa"/>
            <w:noWrap w:val="0"/>
            <w:vAlign w:val="center"/>
          </w:tcPr>
          <w:p>
            <w:pPr>
              <w:jc w:val="center"/>
              <w:rPr>
                <w:rFonts w:ascii="宋体" w:hAnsi="宋体" w:cs="宋体"/>
                <w:b/>
              </w:rPr>
            </w:pPr>
            <w:r>
              <w:rPr>
                <w:rFonts w:ascii="宋体" w:hAnsi="宋体" w:cs="宋体"/>
                <w:b/>
              </w:rPr>
              <w:t>标段号</w:t>
            </w:r>
          </w:p>
        </w:tc>
        <w:tc>
          <w:tcPr>
            <w:tcW w:w="7054" w:type="dxa"/>
            <w:noWrap w:val="0"/>
            <w:vAlign w:val="center"/>
          </w:tcPr>
          <w:p>
            <w:pPr>
              <w:jc w:val="center"/>
              <w:rPr>
                <w:rFonts w:ascii="宋体" w:hAnsi="宋体" w:cs="宋体"/>
                <w:b/>
              </w:rPr>
            </w:pPr>
            <w:r>
              <w:rPr>
                <w:rFonts w:ascii="宋体" w:hAnsi="宋体" w:cs="宋体"/>
                <w:b/>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935" w:type="dxa"/>
            <w:noWrap w:val="0"/>
            <w:vAlign w:val="center"/>
          </w:tcPr>
          <w:p>
            <w:pPr>
              <w:jc w:val="center"/>
              <w:rPr>
                <w:rFonts w:ascii="宋体" w:hAnsi="宋体" w:cs="宋体"/>
              </w:rPr>
            </w:pPr>
            <w:r>
              <w:rPr>
                <w:rFonts w:ascii="宋体" w:hAnsi="宋体" w:cs="宋体"/>
              </w:rPr>
              <w:t>所有标段</w:t>
            </w:r>
          </w:p>
        </w:tc>
        <w:tc>
          <w:tcPr>
            <w:tcW w:w="7054" w:type="dxa"/>
            <w:noWrap w:val="0"/>
            <w:vAlign w:val="center"/>
          </w:tcPr>
          <w:p>
            <w:pPr>
              <w:widowControl/>
              <w:spacing w:line="240" w:lineRule="auto"/>
              <w:rPr>
                <w:rFonts w:ascii="宋体" w:hAnsi="宋体" w:cs="宋体"/>
              </w:rPr>
            </w:pPr>
            <w:r>
              <w:rPr>
                <w:rFonts w:ascii="宋体" w:hAnsi="宋体" w:cs="宋体"/>
              </w:rPr>
              <w:t>第一种方式</w:t>
            </w:r>
          </w:p>
          <w:p>
            <w:pPr>
              <w:widowControl/>
              <w:spacing w:line="240" w:lineRule="auto"/>
              <w:rPr>
                <w:rFonts w:ascii="宋体" w:hAnsi="宋体" w:cs="宋体"/>
              </w:rPr>
            </w:pPr>
            <w:r>
              <w:rPr>
                <w:rFonts w:ascii="宋体" w:hAnsi="宋体" w:cs="宋体"/>
              </w:rPr>
              <w:t>2021年的营业收入不少于500万元。</w:t>
            </w:r>
          </w:p>
          <w:p>
            <w:pPr>
              <w:widowControl/>
              <w:spacing w:line="240" w:lineRule="auto"/>
              <w:rPr>
                <w:rFonts w:ascii="宋体" w:hAnsi="宋体" w:cs="宋体"/>
              </w:rPr>
            </w:pPr>
          </w:p>
          <w:p>
            <w:pPr>
              <w:widowControl/>
              <w:spacing w:line="240" w:lineRule="auto"/>
              <w:rPr>
                <w:rFonts w:ascii="宋体" w:hAnsi="宋体" w:cs="宋体"/>
              </w:rPr>
            </w:pPr>
            <w:r>
              <w:rPr>
                <w:rFonts w:ascii="宋体" w:hAnsi="宋体" w:cs="宋体"/>
              </w:rPr>
              <w:t>第二种方式</w:t>
            </w:r>
          </w:p>
          <w:p>
            <w:pPr>
              <w:pStyle w:val="10"/>
              <w:ind w:firstLine="0" w:firstLineChars="0"/>
              <w:rPr>
                <w:rFonts w:ascii="宋体" w:hAnsi="宋体" w:cs="宋体"/>
              </w:rPr>
            </w:pPr>
            <w:r>
              <w:rPr>
                <w:rFonts w:ascii="宋体" w:hAnsi="宋体" w:cs="宋体"/>
              </w:rPr>
              <w:t>由银行出具</w:t>
            </w:r>
            <w:r>
              <w:rPr>
                <w:rFonts w:ascii="宋体" w:hAnsi="宋体" w:cs="宋体"/>
                <w:b/>
                <w:bCs/>
                <w:color w:val="FF0000"/>
              </w:rPr>
              <w:t>（须有银行盖章）</w:t>
            </w:r>
            <w:r>
              <w:rPr>
                <w:rFonts w:ascii="宋体" w:hAnsi="宋体" w:cs="宋体"/>
              </w:rPr>
              <w:t>递交投标文件的截止时间前3个月内（2022年4月、2022年5月、2022年6月）的单位账户流水证明，每月</w:t>
            </w:r>
            <w:r>
              <w:rPr>
                <w:rFonts w:ascii="宋体" w:hAnsi="宋体" w:cs="宋体"/>
                <w:b/>
                <w:bCs/>
                <w:color w:val="FF0000"/>
              </w:rPr>
              <w:t>月末</w:t>
            </w:r>
            <w:r>
              <w:rPr>
                <w:rFonts w:ascii="宋体" w:hAnsi="宋体" w:cs="宋体"/>
              </w:rPr>
              <w:t>账户余额的平均值不少于50万元。</w:t>
            </w:r>
          </w:p>
          <w:p>
            <w:pPr>
              <w:jc w:val="left"/>
              <w:rPr>
                <w:rFonts w:ascii="宋体" w:hAnsi="宋体" w:cs="宋体"/>
              </w:rPr>
            </w:pPr>
            <w:r>
              <w:rPr>
                <w:rFonts w:ascii="宋体" w:hAnsi="宋体" w:cs="宋体"/>
                <w:b/>
                <w:bCs/>
                <w:color w:val="FF0000"/>
              </w:rPr>
              <w:t>上述两种方式满足其中一种即可，无银行公章的流水证明按无效投标处理。</w:t>
            </w:r>
          </w:p>
        </w:tc>
      </w:tr>
    </w:tbl>
    <w:p>
      <w:pPr>
        <w:pStyle w:val="3"/>
        <w:spacing w:after="0" w:line="400" w:lineRule="atLeast"/>
        <w:ind w:left="600" w:leftChars="100" w:hanging="360" w:hangingChars="200"/>
        <w:rPr>
          <w:rFonts w:hint="eastAsia" w:ascii="宋体" w:hAnsi="宋体" w:cs="宋体"/>
          <w:color w:val="FF0000"/>
          <w:sz w:val="18"/>
          <w:szCs w:val="18"/>
        </w:rPr>
      </w:pPr>
      <w:r>
        <w:rPr>
          <w:rFonts w:hint="eastAsia" w:ascii="宋体" w:hAnsi="宋体" w:cs="宋体"/>
          <w:sz w:val="18"/>
          <w:szCs w:val="18"/>
        </w:rPr>
        <w:t>注：</w:t>
      </w:r>
      <w:r>
        <w:rPr>
          <w:rFonts w:hint="eastAsia" w:ascii="宋体" w:hAnsi="宋体" w:cs="宋体"/>
          <w:color w:val="FF0000"/>
          <w:sz w:val="18"/>
          <w:szCs w:val="18"/>
        </w:rPr>
        <w:t>1.采用第一种方式应附经会计师事务所或审计机构审计的财务会计报表，包括资产负债表、现金流量表、利润表的复印件。</w:t>
      </w:r>
    </w:p>
    <w:p>
      <w:pPr>
        <w:pStyle w:val="3"/>
        <w:spacing w:after="0" w:line="400" w:lineRule="atLeast"/>
        <w:ind w:left="690" w:leftChars="0"/>
        <w:rPr>
          <w:rFonts w:hint="eastAsia" w:ascii="宋体" w:hAnsi="宋体" w:cs="宋体"/>
          <w:color w:val="FF0000"/>
          <w:sz w:val="18"/>
          <w:szCs w:val="18"/>
        </w:rPr>
      </w:pPr>
      <w:r>
        <w:rPr>
          <w:rFonts w:hint="eastAsia" w:ascii="宋体" w:hAnsi="宋体" w:cs="宋体"/>
          <w:color w:val="FF0000"/>
          <w:sz w:val="18"/>
          <w:szCs w:val="18"/>
        </w:rPr>
        <w:t>2.采用第二种方式应附银行出具（须有银行盖章）递交投标文件的截止时间前3个月内的单位账户流水证明。</w:t>
      </w:r>
    </w:p>
    <w:p>
      <w:pPr>
        <w:rPr>
          <w:rFonts w:hint="eastAsia"/>
        </w:rPr>
      </w:pPr>
    </w:p>
    <w:p>
      <w:pPr>
        <w:pStyle w:val="10"/>
        <w:ind w:firstLine="240"/>
        <w:rPr>
          <w:rFonts w:hint="eastAsia"/>
        </w:rPr>
      </w:pPr>
    </w:p>
    <w:p>
      <w:pPr>
        <w:pStyle w:val="10"/>
        <w:ind w:firstLine="240"/>
        <w:rPr>
          <w:rFonts w:hint="eastAsia"/>
        </w:rPr>
      </w:pPr>
    </w:p>
    <w:p>
      <w:pPr>
        <w:pStyle w:val="10"/>
        <w:ind w:firstLine="240"/>
        <w:rPr>
          <w:rFonts w:hint="eastAsia"/>
        </w:rPr>
      </w:pPr>
    </w:p>
    <w:p>
      <w:pPr>
        <w:pStyle w:val="10"/>
        <w:ind w:firstLine="240"/>
        <w:rPr>
          <w:rFonts w:hint="eastAsia"/>
        </w:rPr>
      </w:pPr>
    </w:p>
    <w:p>
      <w:pPr>
        <w:pStyle w:val="10"/>
        <w:ind w:firstLine="240"/>
        <w:rPr>
          <w:rFonts w:hint="eastAsia"/>
        </w:rPr>
      </w:pPr>
    </w:p>
    <w:p>
      <w:pPr>
        <w:pStyle w:val="10"/>
        <w:ind w:firstLine="240"/>
        <w:rPr>
          <w:rFonts w:hint="eastAsia"/>
        </w:rPr>
      </w:pPr>
    </w:p>
    <w:p>
      <w:pPr>
        <w:pStyle w:val="10"/>
        <w:ind w:firstLine="240"/>
        <w:rPr>
          <w:rFonts w:hint="eastAsia"/>
        </w:rPr>
      </w:pPr>
    </w:p>
    <w:p>
      <w:pPr>
        <w:pStyle w:val="10"/>
        <w:ind w:firstLine="240"/>
        <w:rPr>
          <w:rFonts w:hint="eastAsia"/>
        </w:rPr>
      </w:pPr>
    </w:p>
    <w:p>
      <w:pPr>
        <w:pStyle w:val="10"/>
        <w:ind w:firstLine="240"/>
        <w:rPr>
          <w:rFonts w:hint="eastAsia"/>
        </w:rPr>
      </w:pPr>
    </w:p>
    <w:p>
      <w:pPr>
        <w:pStyle w:val="10"/>
        <w:ind w:firstLine="240"/>
        <w:rPr>
          <w:rFonts w:hint="eastAsia"/>
        </w:rPr>
      </w:pPr>
    </w:p>
    <w:p>
      <w:pPr>
        <w:pStyle w:val="10"/>
        <w:ind w:firstLine="240"/>
        <w:rPr>
          <w:rFonts w:hint="eastAsia"/>
        </w:rPr>
      </w:pPr>
    </w:p>
    <w:p>
      <w:pPr>
        <w:pStyle w:val="10"/>
        <w:ind w:firstLine="240"/>
        <w:rPr>
          <w:rFonts w:hint="eastAsia"/>
        </w:rPr>
      </w:pPr>
    </w:p>
    <w:p>
      <w:pPr>
        <w:pStyle w:val="10"/>
        <w:ind w:firstLine="240"/>
        <w:rPr>
          <w:rFonts w:hint="eastAsia"/>
        </w:rPr>
      </w:pPr>
    </w:p>
    <w:p>
      <w:pPr>
        <w:pStyle w:val="10"/>
        <w:ind w:firstLine="240"/>
        <w:rPr>
          <w:rFonts w:hint="eastAsia"/>
        </w:rPr>
      </w:pPr>
    </w:p>
    <w:p>
      <w:pPr>
        <w:pStyle w:val="5"/>
        <w:rPr>
          <w:rFonts w:hint="eastAsia"/>
        </w:rPr>
      </w:pPr>
      <w:r>
        <w:rPr>
          <w:rFonts w:hint="eastAsia" w:ascii="宋体" w:hAnsi="宋体" w:eastAsia="宋体" w:cs="宋体"/>
          <w:iCs w:val="0"/>
        </w:rPr>
        <w:t>附录</w:t>
      </w:r>
      <w:r>
        <w:rPr>
          <w:rFonts w:hint="eastAsia" w:ascii="宋体" w:hAnsi="宋体" w:eastAsia="宋体" w:cs="宋体"/>
          <w:iCs w:val="0"/>
          <w:lang w:val="en-US" w:eastAsia="zh-CN"/>
        </w:rPr>
        <w:t>4</w:t>
      </w:r>
      <w:r>
        <w:rPr>
          <w:rFonts w:hint="eastAsia" w:ascii="宋体" w:hAnsi="宋体" w:eastAsia="宋体" w:cs="宋体"/>
          <w:iCs w:val="0"/>
        </w:rPr>
        <w:t xml:space="preserve">  资格审查条件(其他管理和技术人员最低要求) </w:t>
      </w:r>
    </w:p>
    <w:tbl>
      <w:tblPr>
        <w:tblStyle w:val="11"/>
        <w:tblW w:w="9240" w:type="dxa"/>
        <w:jc w:val="center"/>
        <w:tblLayout w:type="autofit"/>
        <w:tblCellMar>
          <w:top w:w="0" w:type="dxa"/>
          <w:left w:w="108" w:type="dxa"/>
          <w:bottom w:w="0" w:type="dxa"/>
          <w:right w:w="108" w:type="dxa"/>
        </w:tblCellMar>
      </w:tblPr>
      <w:tblGrid>
        <w:gridCol w:w="1680"/>
        <w:gridCol w:w="5366"/>
        <w:gridCol w:w="1097"/>
        <w:gridCol w:w="1097"/>
      </w:tblGrid>
      <w:tr>
        <w:tblPrEx>
          <w:tblCellMar>
            <w:top w:w="0" w:type="dxa"/>
            <w:left w:w="108" w:type="dxa"/>
            <w:bottom w:w="0" w:type="dxa"/>
            <w:right w:w="108" w:type="dxa"/>
          </w:tblCellMar>
        </w:tblPrEx>
        <w:trPr>
          <w:trHeight w:val="735" w:hRule="atLeast"/>
          <w:jc w:val="center"/>
        </w:trPr>
        <w:tc>
          <w:tcPr>
            <w:tcW w:w="1729"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b/>
                <w:bCs/>
                <w:color w:val="000000"/>
              </w:rPr>
            </w:pPr>
            <w:r>
              <w:rPr>
                <w:rFonts w:hint="default" w:ascii="Times New Roman" w:hAnsi="Times New Roman" w:cs="Times New Roman"/>
                <w:b/>
                <w:bCs/>
                <w:color w:val="000000"/>
                <w:kern w:val="0"/>
                <w:lang w:bidi="ar"/>
              </w:rPr>
              <w:t>人  员</w:t>
            </w:r>
          </w:p>
        </w:tc>
        <w:tc>
          <w:tcPr>
            <w:tcW w:w="5551"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b/>
                <w:bCs/>
                <w:color w:val="000000"/>
              </w:rPr>
            </w:pPr>
            <w:r>
              <w:rPr>
                <w:rFonts w:hint="default" w:ascii="Times New Roman" w:hAnsi="Times New Roman" w:cs="Times New Roman"/>
                <w:b/>
                <w:bCs/>
                <w:color w:val="000000"/>
                <w:kern w:val="0"/>
                <w:lang w:bidi="ar"/>
              </w:rPr>
              <w:t>资 格 要 求</w:t>
            </w:r>
          </w:p>
        </w:tc>
        <w:tc>
          <w:tcPr>
            <w:tcW w:w="19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b/>
                <w:bCs/>
                <w:color w:val="000000"/>
                <w:kern w:val="0"/>
                <w:lang w:bidi="ar"/>
              </w:rPr>
            </w:pPr>
            <w:r>
              <w:rPr>
                <w:rFonts w:hint="default" w:ascii="Times New Roman" w:hAnsi="Times New Roman" w:eastAsia="宋体" w:cs="Times New Roman"/>
                <w:b/>
                <w:bCs/>
                <w:color w:val="000000"/>
                <w:kern w:val="0"/>
                <w:lang w:bidi="ar"/>
              </w:rPr>
              <w:t>数  量</w:t>
            </w:r>
          </w:p>
        </w:tc>
      </w:tr>
      <w:tr>
        <w:tblPrEx>
          <w:tblCellMar>
            <w:top w:w="0" w:type="dxa"/>
            <w:left w:w="108" w:type="dxa"/>
            <w:bottom w:w="0" w:type="dxa"/>
            <w:right w:w="108" w:type="dxa"/>
          </w:tblCellMar>
        </w:tblPrEx>
        <w:trPr>
          <w:trHeight w:val="702" w:hRule="atLeast"/>
          <w:jc w:val="center"/>
        </w:trPr>
        <w:tc>
          <w:tcPr>
            <w:tcW w:w="1729"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b/>
                <w:bCs/>
                <w:color w:val="000000"/>
                <w:kern w:val="0"/>
                <w:lang w:bidi="ar"/>
              </w:rPr>
            </w:pPr>
          </w:p>
        </w:tc>
        <w:tc>
          <w:tcPr>
            <w:tcW w:w="5551"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b/>
                <w:bCs/>
                <w:color w:val="000000"/>
                <w:kern w:val="0"/>
                <w:lang w:bidi="ar"/>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b/>
                <w:bCs/>
                <w:color w:val="000000"/>
                <w:kern w:val="0"/>
                <w:lang w:val="en-US" w:eastAsia="zh-CN" w:bidi="ar"/>
              </w:rPr>
            </w:pPr>
            <w:r>
              <w:rPr>
                <w:rFonts w:hint="eastAsia" w:ascii="Times New Roman" w:hAnsi="Times New Roman" w:eastAsia="宋体" w:cs="Times New Roman"/>
                <w:b/>
                <w:bCs/>
                <w:color w:val="000000"/>
                <w:kern w:val="0"/>
                <w:lang w:val="en-US" w:eastAsia="zh-CN" w:bidi="ar"/>
              </w:rPr>
              <w:t>SYQH-2标段</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b/>
                <w:bCs/>
                <w:color w:val="000000"/>
                <w:kern w:val="0"/>
                <w:lang w:bidi="ar"/>
              </w:rPr>
            </w:pPr>
            <w:r>
              <w:rPr>
                <w:rFonts w:hint="eastAsia" w:ascii="Times New Roman" w:hAnsi="Times New Roman" w:eastAsia="宋体" w:cs="Times New Roman"/>
                <w:b/>
                <w:bCs/>
                <w:color w:val="000000"/>
                <w:kern w:val="0"/>
                <w:lang w:val="en-US" w:eastAsia="zh-CN" w:bidi="ar"/>
              </w:rPr>
              <w:t>SYQH-3标段</w:t>
            </w:r>
          </w:p>
        </w:tc>
      </w:tr>
      <w:tr>
        <w:tblPrEx>
          <w:tblCellMar>
            <w:top w:w="0" w:type="dxa"/>
            <w:left w:w="108" w:type="dxa"/>
            <w:bottom w:w="0" w:type="dxa"/>
            <w:right w:w="108" w:type="dxa"/>
          </w:tblCellMar>
        </w:tblPrEx>
        <w:trPr>
          <w:trHeight w:val="1100" w:hRule="atLeast"/>
          <w:jc w:val="center"/>
        </w:trPr>
        <w:tc>
          <w:tcPr>
            <w:tcW w:w="17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项目负责人</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中级技术职称，高速公路施工从业年限不低于6年,</w:t>
            </w:r>
            <w:r>
              <w:rPr>
                <w:rStyle w:val="13"/>
                <w:lang w:bidi="ar"/>
              </w:rPr>
              <w:t>近3年内曾担任过一个类似项目负责人，年龄为55岁以下。</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1人</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1人</w:t>
            </w:r>
          </w:p>
        </w:tc>
      </w:tr>
      <w:tr>
        <w:tblPrEx>
          <w:tblCellMar>
            <w:top w:w="0" w:type="dxa"/>
            <w:left w:w="108" w:type="dxa"/>
            <w:bottom w:w="0" w:type="dxa"/>
            <w:right w:w="108" w:type="dxa"/>
          </w:tblCellMar>
        </w:tblPrEx>
        <w:trPr>
          <w:trHeight w:val="1100" w:hRule="atLeast"/>
          <w:jc w:val="center"/>
        </w:trPr>
        <w:tc>
          <w:tcPr>
            <w:tcW w:w="17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安全员</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持有有效的</w:t>
            </w:r>
            <w:r>
              <w:rPr>
                <w:rStyle w:val="14"/>
                <w:color w:val="FF0000"/>
                <w:lang w:bidi="ar"/>
              </w:rPr>
              <w:t>交通运输主管部门颁发的安全生产考核合格证书（C证）</w:t>
            </w:r>
            <w:r>
              <w:rPr>
                <w:rStyle w:val="13"/>
                <w:lang w:bidi="ar"/>
              </w:rPr>
              <w:t>，并配合招标人项目部进行安全管理工作。</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1"/>
                <w:szCs w:val="21"/>
              </w:rPr>
            </w:pPr>
            <w:r>
              <w:rPr>
                <w:rFonts w:hint="default" w:ascii="宋体" w:hAnsi="宋体" w:eastAsia="宋体" w:cs="宋体"/>
                <w:color w:val="000000"/>
                <w:kern w:val="0"/>
                <w:sz w:val="21"/>
                <w:szCs w:val="21"/>
                <w:lang w:bidi="ar"/>
              </w:rPr>
              <w:t>1</w:t>
            </w:r>
            <w:r>
              <w:rPr>
                <w:rFonts w:ascii="宋体" w:hAnsi="宋体" w:eastAsia="宋体" w:cs="宋体"/>
                <w:color w:val="000000"/>
                <w:kern w:val="0"/>
                <w:sz w:val="21"/>
                <w:szCs w:val="21"/>
                <w:lang w:bidi="ar"/>
              </w:rPr>
              <w:t>人</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1"/>
                <w:szCs w:val="21"/>
                <w:lang w:bidi="ar"/>
              </w:rPr>
            </w:pPr>
            <w:r>
              <w:rPr>
                <w:rFonts w:hint="default" w:ascii="宋体" w:hAnsi="宋体" w:eastAsia="宋体" w:cs="宋体"/>
                <w:color w:val="000000"/>
                <w:kern w:val="0"/>
                <w:sz w:val="21"/>
                <w:szCs w:val="21"/>
                <w:lang w:bidi="ar"/>
              </w:rPr>
              <w:t>1</w:t>
            </w:r>
            <w:r>
              <w:rPr>
                <w:rFonts w:ascii="宋体" w:hAnsi="宋体" w:eastAsia="宋体" w:cs="宋体"/>
                <w:color w:val="000000"/>
                <w:kern w:val="0"/>
                <w:sz w:val="21"/>
                <w:szCs w:val="21"/>
                <w:lang w:bidi="ar"/>
              </w:rPr>
              <w:t>人</w:t>
            </w:r>
          </w:p>
        </w:tc>
      </w:tr>
      <w:tr>
        <w:tblPrEx>
          <w:tblCellMar>
            <w:top w:w="0" w:type="dxa"/>
            <w:left w:w="108" w:type="dxa"/>
            <w:bottom w:w="0" w:type="dxa"/>
            <w:right w:w="108" w:type="dxa"/>
          </w:tblCellMar>
        </w:tblPrEx>
        <w:trPr>
          <w:trHeight w:val="1100" w:hRule="atLeast"/>
          <w:jc w:val="center"/>
        </w:trPr>
        <w:tc>
          <w:tcPr>
            <w:tcW w:w="17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资料员</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具有工程内业从业经历，能熟练使用电脑办公软件</w:t>
            </w:r>
            <w:r>
              <w:rPr>
                <w:rStyle w:val="13"/>
                <w:lang w:bidi="ar"/>
              </w:rPr>
              <w:t>。</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2</w:t>
            </w:r>
            <w:r>
              <w:rPr>
                <w:rFonts w:ascii="宋体" w:hAnsi="宋体" w:eastAsia="宋体" w:cs="宋体"/>
                <w:color w:val="000000"/>
                <w:kern w:val="0"/>
                <w:sz w:val="21"/>
                <w:szCs w:val="21"/>
                <w:lang w:bidi="ar"/>
              </w:rPr>
              <w:t>人</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2</w:t>
            </w:r>
            <w:r>
              <w:rPr>
                <w:rFonts w:ascii="宋体" w:hAnsi="宋体" w:eastAsia="宋体" w:cs="宋体"/>
                <w:color w:val="000000"/>
                <w:kern w:val="0"/>
                <w:sz w:val="21"/>
                <w:szCs w:val="21"/>
                <w:lang w:bidi="ar"/>
              </w:rPr>
              <w:t>人</w:t>
            </w:r>
          </w:p>
        </w:tc>
      </w:tr>
      <w:tr>
        <w:tblPrEx>
          <w:tblCellMar>
            <w:top w:w="0" w:type="dxa"/>
            <w:left w:w="108" w:type="dxa"/>
            <w:bottom w:w="0" w:type="dxa"/>
            <w:right w:w="108" w:type="dxa"/>
          </w:tblCellMar>
        </w:tblPrEx>
        <w:trPr>
          <w:trHeight w:val="1100" w:hRule="atLeast"/>
          <w:jc w:val="center"/>
        </w:trPr>
        <w:tc>
          <w:tcPr>
            <w:tcW w:w="17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技术员</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具有工程现场施工从业经历，有一定协调能力和现场应变能力</w:t>
            </w:r>
            <w:r>
              <w:rPr>
                <w:rStyle w:val="13"/>
                <w:lang w:bidi="ar"/>
              </w:rPr>
              <w:t>。</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2人</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2人</w:t>
            </w:r>
          </w:p>
        </w:tc>
      </w:tr>
      <w:tr>
        <w:tblPrEx>
          <w:tblCellMar>
            <w:top w:w="0" w:type="dxa"/>
            <w:left w:w="108" w:type="dxa"/>
            <w:bottom w:w="0" w:type="dxa"/>
            <w:right w:w="108" w:type="dxa"/>
          </w:tblCellMar>
        </w:tblPrEx>
        <w:trPr>
          <w:trHeight w:val="1100" w:hRule="atLeast"/>
          <w:jc w:val="center"/>
        </w:trPr>
        <w:tc>
          <w:tcPr>
            <w:tcW w:w="17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施工作业队</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1"/>
                <w:szCs w:val="21"/>
                <w:lang w:eastAsia="zh-CN"/>
              </w:rPr>
            </w:pPr>
            <w:r>
              <w:rPr>
                <w:rFonts w:ascii="宋体" w:hAnsi="宋体" w:eastAsia="宋体" w:cs="宋体"/>
                <w:color w:val="000000"/>
                <w:kern w:val="0"/>
                <w:sz w:val="21"/>
                <w:szCs w:val="21"/>
                <w:lang w:bidi="ar"/>
              </w:rPr>
              <w:t>每个班组10人</w:t>
            </w:r>
            <w:r>
              <w:rPr>
                <w:rFonts w:hint="eastAsia" w:ascii="宋体" w:hAnsi="宋体" w:eastAsia="宋体" w:cs="宋体"/>
                <w:i w:val="0"/>
                <w:iCs w:val="0"/>
                <w:color w:val="000000"/>
                <w:kern w:val="0"/>
                <w:sz w:val="21"/>
                <w:szCs w:val="21"/>
                <w:highlight w:val="none"/>
                <w:u w:val="none"/>
                <w:lang w:val="en-US" w:eastAsia="zh-CN" w:bidi="ar"/>
              </w:rPr>
              <w:t>，其中包括1名专职安全巡查员</w:t>
            </w:r>
            <w:r>
              <w:rPr>
                <w:rStyle w:val="13"/>
                <w:highlight w:val="none"/>
                <w:lang w:val="en-US" w:eastAsia="zh-CN" w:bidi="ar"/>
              </w:rPr>
              <w:t>、1名专职安全员。</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1"/>
                <w:szCs w:val="21"/>
              </w:rPr>
            </w:pPr>
            <w:r>
              <w:rPr>
                <w:rFonts w:ascii="宋体" w:hAnsi="宋体" w:eastAsia="宋体" w:cs="宋体"/>
                <w:color w:val="000000"/>
                <w:kern w:val="0"/>
                <w:sz w:val="21"/>
                <w:szCs w:val="21"/>
                <w:lang w:bidi="ar"/>
              </w:rPr>
              <w:t>6个</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6个</w:t>
            </w:r>
          </w:p>
        </w:tc>
      </w:tr>
    </w:tbl>
    <w:p>
      <w:pPr>
        <w:widowControl/>
        <w:spacing w:line="360" w:lineRule="exact"/>
        <w:jc w:val="left"/>
        <w:rPr>
          <w:rFonts w:hint="eastAsia" w:ascii="宋体" w:hAnsi="宋体" w:cs="宋体"/>
          <w:kern w:val="0"/>
          <w:sz w:val="18"/>
          <w:szCs w:val="18"/>
          <w:u w:val="single"/>
        </w:rPr>
      </w:pPr>
      <w:r>
        <w:rPr>
          <w:rFonts w:hint="eastAsia" w:ascii="宋体" w:hAnsi="宋体" w:cs="宋体"/>
          <w:sz w:val="18"/>
          <w:szCs w:val="18"/>
        </w:rPr>
        <w:t>注：</w:t>
      </w:r>
      <w:r>
        <w:rPr>
          <w:rFonts w:hint="eastAsia" w:ascii="宋体" w:hAnsi="宋体" w:cs="宋体"/>
          <w:kern w:val="0"/>
          <w:sz w:val="18"/>
          <w:szCs w:val="18"/>
          <w:u w:val="single"/>
        </w:rPr>
        <w:t>施工班组和人员配备为正常施工配置，如有工程进度要求，各施工队必须无条件的增加施工人员和机具配置；</w:t>
      </w:r>
      <w:r>
        <w:rPr>
          <w:rFonts w:hint="eastAsia" w:ascii="宋体" w:hAnsi="宋体" w:cs="宋体"/>
          <w:color w:val="FF0000"/>
          <w:kern w:val="0"/>
          <w:sz w:val="18"/>
          <w:szCs w:val="18"/>
          <w:u w:val="single"/>
        </w:rPr>
        <w:t>投标人应按招标文件第八章“投标文件格式”相应内容、表格及下注说明的要求在其投标文件中填写相关内容、表格并在相应位置提供要求的证书、证明材料。</w:t>
      </w:r>
      <w:r>
        <w:rPr>
          <w:rFonts w:hint="eastAsia" w:ascii="宋体" w:hAnsi="宋体" w:cs="宋体"/>
          <w:kern w:val="0"/>
          <w:sz w:val="18"/>
          <w:szCs w:val="18"/>
          <w:u w:val="single"/>
        </w:rPr>
        <w:t>如未按要求填写或未按要求提供要求的证书、证明材料的或提供的证书、证明材料不满足要求或不足以证明其满足要求的，评标委员会在对其投标进行评审时将不予通过</w:t>
      </w:r>
    </w:p>
    <w:p>
      <w:pPr>
        <w:pStyle w:val="10"/>
        <w:ind w:firstLine="0" w:firstLineChars="0"/>
        <w:rPr>
          <w:rFonts w:hint="eastAsia" w:ascii="宋体" w:hAnsi="宋体" w:cs="宋体"/>
          <w:bCs/>
          <w:kern w:val="0"/>
          <w:szCs w:val="20"/>
        </w:rPr>
      </w:pPr>
    </w:p>
    <w:p>
      <w:pPr>
        <w:pStyle w:val="10"/>
        <w:ind w:firstLine="0" w:firstLineChars="0"/>
        <w:rPr>
          <w:rFonts w:hint="eastAsia" w:ascii="宋体" w:hAnsi="宋体" w:cs="宋体"/>
          <w:kern w:val="0"/>
          <w:sz w:val="18"/>
          <w:szCs w:val="18"/>
          <w:u w:val="single"/>
        </w:rPr>
        <w:sectPr>
          <w:footerReference r:id="rId7" w:type="default"/>
          <w:footnotePr>
            <w:numFmt w:val="decimalEnclosedCircleChinese"/>
            <w:numRestart w:val="eachPage"/>
          </w:footnotePr>
          <w:pgSz w:w="11907" w:h="16840"/>
          <w:pgMar w:top="1417" w:right="1417" w:bottom="1417" w:left="1417" w:header="850" w:footer="850" w:gutter="0"/>
          <w:cols w:space="720" w:num="1"/>
          <w:docGrid w:linePitch="312" w:charSpace="0"/>
        </w:sectPr>
      </w:pPr>
    </w:p>
    <w:bookmarkEnd w:id="12"/>
    <w:bookmarkEnd w:id="13"/>
    <w:bookmarkEnd w:id="14"/>
    <w:bookmarkEnd w:id="16"/>
    <w:p>
      <w:pPr>
        <w:pStyle w:val="3"/>
        <w:spacing w:after="0" w:line="360" w:lineRule="auto"/>
        <w:ind w:left="0" w:leftChars="0"/>
        <w:outlineLvl w:val="2"/>
        <w:rPr>
          <w:rFonts w:hint="eastAsia" w:ascii="宋体" w:hAnsi="宋体" w:cs="宋体"/>
          <w:bCs/>
          <w:iCs/>
          <w:kern w:val="0"/>
          <w:szCs w:val="20"/>
        </w:rPr>
      </w:pPr>
      <w:bookmarkStart w:id="17" w:name="_Toc1804"/>
      <w:bookmarkStart w:id="18" w:name="_Toc3916"/>
      <w:bookmarkStart w:id="19" w:name="_Toc533720427"/>
      <w:bookmarkStart w:id="20" w:name="_Toc5842"/>
      <w:r>
        <w:rPr>
          <w:rFonts w:hint="eastAsia" w:ascii="宋体" w:hAnsi="宋体" w:cs="宋体"/>
          <w:bCs/>
          <w:iCs/>
          <w:kern w:val="0"/>
          <w:szCs w:val="20"/>
        </w:rPr>
        <w:t>附录5  资格审查条件(主要机械设备和试验检测设备最低要求)</w:t>
      </w:r>
      <w:bookmarkEnd w:id="17"/>
      <w:bookmarkEnd w:id="18"/>
      <w:bookmarkEnd w:id="19"/>
      <w:bookmarkEnd w:id="20"/>
    </w:p>
    <w:tbl>
      <w:tblPr>
        <w:tblStyle w:val="11"/>
        <w:tblW w:w="9336" w:type="dxa"/>
        <w:jc w:val="center"/>
        <w:tblLayout w:type="fixed"/>
        <w:tblCellMar>
          <w:top w:w="0" w:type="dxa"/>
          <w:left w:w="108" w:type="dxa"/>
          <w:bottom w:w="0" w:type="dxa"/>
          <w:right w:w="108" w:type="dxa"/>
        </w:tblCellMar>
      </w:tblPr>
      <w:tblGrid>
        <w:gridCol w:w="1451"/>
        <w:gridCol w:w="2638"/>
        <w:gridCol w:w="2019"/>
        <w:gridCol w:w="1614"/>
        <w:gridCol w:w="1614"/>
      </w:tblGrid>
      <w:tr>
        <w:tblPrEx>
          <w:tblCellMar>
            <w:top w:w="0" w:type="dxa"/>
            <w:left w:w="108" w:type="dxa"/>
            <w:bottom w:w="0" w:type="dxa"/>
            <w:right w:w="108" w:type="dxa"/>
          </w:tblCellMar>
        </w:tblPrEx>
        <w:trPr>
          <w:trHeight w:val="630" w:hRule="atLeast"/>
          <w:jc w:val="center"/>
        </w:trPr>
        <w:tc>
          <w:tcPr>
            <w:tcW w:w="1451" w:type="dxa"/>
            <w:vMerge w:val="restart"/>
            <w:tcBorders>
              <w:top w:val="single" w:color="000000" w:sz="8" w:space="0"/>
              <w:left w:val="single" w:color="000000" w:sz="8" w:space="0"/>
              <w:right w:val="single" w:color="000000" w:sz="8" w:space="0"/>
            </w:tcBorders>
            <w:noWrap w:val="0"/>
            <w:vAlign w:val="center"/>
          </w:tcPr>
          <w:p>
            <w:pPr>
              <w:widowControl/>
              <w:jc w:val="center"/>
              <w:textAlignment w:val="center"/>
              <w:rPr>
                <w:rFonts w:ascii="宋体" w:hAnsi="宋体" w:eastAsia="宋体" w:cs="宋体"/>
                <w:b/>
                <w:bCs/>
                <w:color w:val="000000"/>
                <w:sz w:val="21"/>
                <w:szCs w:val="21"/>
              </w:rPr>
            </w:pPr>
            <w:r>
              <w:rPr>
                <w:rFonts w:ascii="宋体" w:hAnsi="宋体" w:eastAsia="宋体" w:cs="宋体"/>
                <w:b/>
                <w:bCs/>
                <w:color w:val="000000"/>
                <w:kern w:val="0"/>
                <w:sz w:val="21"/>
                <w:szCs w:val="21"/>
                <w:lang w:bidi="ar"/>
              </w:rPr>
              <w:t>序号</w:t>
            </w:r>
          </w:p>
        </w:tc>
        <w:tc>
          <w:tcPr>
            <w:tcW w:w="2638" w:type="dxa"/>
            <w:vMerge w:val="restart"/>
            <w:tcBorders>
              <w:top w:val="single" w:color="000000" w:sz="8" w:space="0"/>
              <w:left w:val="nil"/>
              <w:right w:val="single" w:color="000000" w:sz="8" w:space="0"/>
            </w:tcBorders>
            <w:noWrap w:val="0"/>
            <w:vAlign w:val="center"/>
          </w:tcPr>
          <w:p>
            <w:pPr>
              <w:widowControl/>
              <w:jc w:val="center"/>
              <w:textAlignment w:val="center"/>
              <w:rPr>
                <w:rFonts w:ascii="宋体" w:hAnsi="宋体" w:eastAsia="宋体" w:cs="宋体"/>
                <w:b/>
                <w:bCs/>
                <w:color w:val="000000"/>
                <w:kern w:val="0"/>
                <w:sz w:val="21"/>
                <w:szCs w:val="21"/>
                <w:lang w:bidi="ar"/>
              </w:rPr>
            </w:pPr>
            <w:r>
              <w:rPr>
                <w:rFonts w:ascii="宋体" w:hAnsi="宋体" w:eastAsia="宋体" w:cs="宋体"/>
                <w:b/>
                <w:bCs/>
                <w:color w:val="000000"/>
                <w:kern w:val="0"/>
                <w:sz w:val="21"/>
                <w:szCs w:val="21"/>
                <w:lang w:bidi="ar"/>
              </w:rPr>
              <w:t>设备名称</w:t>
            </w:r>
          </w:p>
        </w:tc>
        <w:tc>
          <w:tcPr>
            <w:tcW w:w="2019" w:type="dxa"/>
            <w:vMerge w:val="restart"/>
            <w:tcBorders>
              <w:top w:val="single" w:color="000000" w:sz="8" w:space="0"/>
              <w:left w:val="nil"/>
              <w:right w:val="single" w:color="000000" w:sz="8" w:space="0"/>
            </w:tcBorders>
            <w:noWrap w:val="0"/>
            <w:vAlign w:val="center"/>
          </w:tcPr>
          <w:p>
            <w:pPr>
              <w:widowControl/>
              <w:jc w:val="center"/>
              <w:textAlignment w:val="center"/>
              <w:rPr>
                <w:rFonts w:ascii="宋体" w:hAnsi="宋体" w:eastAsia="宋体" w:cs="宋体"/>
                <w:b/>
                <w:bCs/>
                <w:color w:val="000000"/>
                <w:kern w:val="0"/>
                <w:sz w:val="21"/>
                <w:szCs w:val="21"/>
                <w:lang w:bidi="ar"/>
              </w:rPr>
            </w:pPr>
            <w:r>
              <w:rPr>
                <w:rFonts w:ascii="宋体" w:hAnsi="宋体" w:eastAsia="宋体" w:cs="宋体"/>
                <w:b/>
                <w:bCs/>
                <w:color w:val="000000"/>
                <w:kern w:val="0"/>
                <w:sz w:val="21"/>
                <w:szCs w:val="21"/>
                <w:lang w:bidi="ar"/>
              </w:rPr>
              <w:t>单位</w:t>
            </w:r>
          </w:p>
        </w:tc>
        <w:tc>
          <w:tcPr>
            <w:tcW w:w="3228" w:type="dxa"/>
            <w:gridSpan w:val="2"/>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b/>
                <w:bCs/>
                <w:color w:val="000000"/>
                <w:kern w:val="0"/>
                <w:sz w:val="21"/>
                <w:szCs w:val="21"/>
                <w:lang w:bidi="ar"/>
              </w:rPr>
            </w:pPr>
            <w:r>
              <w:rPr>
                <w:rFonts w:ascii="宋体" w:hAnsi="宋体" w:eastAsia="宋体" w:cs="宋体"/>
                <w:b/>
                <w:bCs/>
                <w:color w:val="000000"/>
                <w:kern w:val="0"/>
                <w:sz w:val="21"/>
                <w:szCs w:val="21"/>
                <w:lang w:bidi="ar"/>
              </w:rPr>
              <w:t>数量</w:t>
            </w:r>
          </w:p>
        </w:tc>
      </w:tr>
      <w:tr>
        <w:tblPrEx>
          <w:tblCellMar>
            <w:top w:w="0" w:type="dxa"/>
            <w:left w:w="108" w:type="dxa"/>
            <w:bottom w:w="0" w:type="dxa"/>
            <w:right w:w="108" w:type="dxa"/>
          </w:tblCellMar>
        </w:tblPrEx>
        <w:trPr>
          <w:trHeight w:val="695" w:hRule="atLeast"/>
          <w:jc w:val="center"/>
        </w:trPr>
        <w:tc>
          <w:tcPr>
            <w:tcW w:w="1451" w:type="dxa"/>
            <w:vMerge w:val="continue"/>
            <w:tcBorders>
              <w:left w:val="single" w:color="000000" w:sz="8" w:space="0"/>
              <w:bottom w:val="single" w:color="000000" w:sz="8" w:space="0"/>
              <w:right w:val="single" w:color="000000" w:sz="8" w:space="0"/>
            </w:tcBorders>
            <w:noWrap w:val="0"/>
            <w:vAlign w:val="center"/>
          </w:tcPr>
          <w:p>
            <w:pPr>
              <w:widowControl/>
              <w:jc w:val="center"/>
              <w:textAlignment w:val="center"/>
              <w:rPr>
                <w:rFonts w:ascii="宋体" w:hAnsi="宋体" w:eastAsia="宋体" w:cs="宋体"/>
                <w:b/>
                <w:bCs/>
                <w:color w:val="000000"/>
                <w:kern w:val="0"/>
                <w:sz w:val="21"/>
                <w:szCs w:val="21"/>
                <w:lang w:bidi="ar"/>
              </w:rPr>
            </w:pPr>
          </w:p>
        </w:tc>
        <w:tc>
          <w:tcPr>
            <w:tcW w:w="2638" w:type="dxa"/>
            <w:vMerge w:val="continue"/>
            <w:tcBorders>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b/>
                <w:bCs/>
                <w:color w:val="000000"/>
                <w:kern w:val="0"/>
                <w:sz w:val="21"/>
                <w:szCs w:val="21"/>
                <w:lang w:bidi="ar"/>
              </w:rPr>
            </w:pPr>
          </w:p>
        </w:tc>
        <w:tc>
          <w:tcPr>
            <w:tcW w:w="2019" w:type="dxa"/>
            <w:vMerge w:val="continue"/>
            <w:tcBorders>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b/>
                <w:bCs/>
                <w:color w:val="000000"/>
                <w:kern w:val="0"/>
                <w:sz w:val="21"/>
                <w:szCs w:val="21"/>
                <w:lang w:bidi="ar"/>
              </w:rPr>
            </w:pPr>
          </w:p>
        </w:tc>
        <w:tc>
          <w:tcPr>
            <w:tcW w:w="1614"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default"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SYQH-2标</w:t>
            </w:r>
          </w:p>
        </w:tc>
        <w:tc>
          <w:tcPr>
            <w:tcW w:w="1614"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val="en-US" w:eastAsia="zh-CN" w:bidi="ar"/>
              </w:rPr>
              <w:t>SYQH-3标</w:t>
            </w:r>
          </w:p>
        </w:tc>
      </w:tr>
      <w:tr>
        <w:tblPrEx>
          <w:tblCellMar>
            <w:top w:w="0" w:type="dxa"/>
            <w:left w:w="108" w:type="dxa"/>
            <w:bottom w:w="0" w:type="dxa"/>
            <w:right w:w="108" w:type="dxa"/>
          </w:tblCellMar>
        </w:tblPrEx>
        <w:trPr>
          <w:trHeight w:val="497" w:hRule="atLeast"/>
          <w:jc w:val="center"/>
        </w:trPr>
        <w:tc>
          <w:tcPr>
            <w:tcW w:w="1451"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1</w:t>
            </w:r>
          </w:p>
        </w:tc>
        <w:tc>
          <w:tcPr>
            <w:tcW w:w="2638"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000000"/>
                <w:kern w:val="0"/>
                <w:sz w:val="21"/>
                <w:szCs w:val="21"/>
                <w:u w:val="none"/>
                <w:lang w:bidi="ar"/>
              </w:rPr>
            </w:pPr>
            <w:r>
              <w:rPr>
                <w:rFonts w:hint="eastAsia" w:ascii="宋体" w:hAnsi="宋体" w:cs="宋体"/>
                <w:b/>
                <w:bCs/>
                <w:color w:val="000000"/>
                <w:sz w:val="20"/>
                <w:szCs w:val="20"/>
                <w:u w:val="none"/>
              </w:rPr>
              <w:t>*</w:t>
            </w:r>
            <w:r>
              <w:rPr>
                <w:rFonts w:ascii="宋体" w:hAnsi="宋体" w:eastAsia="宋体" w:cs="宋体"/>
                <w:color w:val="000000"/>
                <w:kern w:val="0"/>
                <w:sz w:val="21"/>
                <w:szCs w:val="21"/>
                <w:u w:val="none"/>
                <w:lang w:bidi="ar"/>
              </w:rPr>
              <w:t>液压同步顶升设备</w:t>
            </w:r>
          </w:p>
        </w:tc>
        <w:tc>
          <w:tcPr>
            <w:tcW w:w="2019"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套</w:t>
            </w:r>
          </w:p>
        </w:tc>
        <w:tc>
          <w:tcPr>
            <w:tcW w:w="1614"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2</w:t>
            </w:r>
          </w:p>
        </w:tc>
        <w:tc>
          <w:tcPr>
            <w:tcW w:w="1614" w:type="dxa"/>
            <w:tcBorders>
              <w:top w:val="nil"/>
              <w:left w:val="nil"/>
              <w:bottom w:val="single" w:color="000000" w:sz="8" w:space="0"/>
              <w:right w:val="single" w:color="000000" w:sz="8" w:space="0"/>
            </w:tcBorders>
            <w:noWrap w:val="0"/>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tc>
      </w:tr>
      <w:tr>
        <w:tblPrEx>
          <w:tblCellMar>
            <w:top w:w="0" w:type="dxa"/>
            <w:left w:w="108" w:type="dxa"/>
            <w:bottom w:w="0" w:type="dxa"/>
            <w:right w:w="108" w:type="dxa"/>
          </w:tblCellMar>
        </w:tblPrEx>
        <w:trPr>
          <w:trHeight w:val="497" w:hRule="atLeast"/>
          <w:jc w:val="center"/>
        </w:trPr>
        <w:tc>
          <w:tcPr>
            <w:tcW w:w="1451"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2</w:t>
            </w:r>
          </w:p>
        </w:tc>
        <w:tc>
          <w:tcPr>
            <w:tcW w:w="2638"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000000"/>
                <w:kern w:val="0"/>
                <w:sz w:val="21"/>
                <w:szCs w:val="21"/>
                <w:u w:val="none"/>
                <w:lang w:bidi="ar"/>
              </w:rPr>
            </w:pPr>
            <w:r>
              <w:rPr>
                <w:rFonts w:hint="eastAsia" w:ascii="宋体" w:hAnsi="宋体" w:cs="宋体"/>
                <w:b/>
                <w:bCs/>
                <w:color w:val="000000"/>
                <w:sz w:val="20"/>
                <w:szCs w:val="20"/>
                <w:u w:val="none"/>
              </w:rPr>
              <w:t>*</w:t>
            </w:r>
            <w:r>
              <w:rPr>
                <w:rFonts w:ascii="宋体" w:hAnsi="宋体" w:eastAsia="宋体" w:cs="宋体"/>
                <w:color w:val="000000"/>
                <w:kern w:val="0"/>
                <w:sz w:val="21"/>
                <w:szCs w:val="21"/>
                <w:u w:val="none"/>
                <w:lang w:bidi="ar"/>
              </w:rPr>
              <w:t>桥梁检测车</w:t>
            </w:r>
          </w:p>
        </w:tc>
        <w:tc>
          <w:tcPr>
            <w:tcW w:w="2019"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台</w:t>
            </w:r>
          </w:p>
        </w:tc>
        <w:tc>
          <w:tcPr>
            <w:tcW w:w="1614"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2</w:t>
            </w:r>
          </w:p>
        </w:tc>
        <w:tc>
          <w:tcPr>
            <w:tcW w:w="161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r>
      <w:tr>
        <w:tblPrEx>
          <w:tblCellMar>
            <w:top w:w="0" w:type="dxa"/>
            <w:left w:w="108" w:type="dxa"/>
            <w:bottom w:w="0" w:type="dxa"/>
            <w:right w:w="108" w:type="dxa"/>
          </w:tblCellMar>
        </w:tblPrEx>
        <w:trPr>
          <w:trHeight w:val="617" w:hRule="atLeast"/>
          <w:jc w:val="center"/>
        </w:trPr>
        <w:tc>
          <w:tcPr>
            <w:tcW w:w="1451"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3</w:t>
            </w:r>
          </w:p>
        </w:tc>
        <w:tc>
          <w:tcPr>
            <w:tcW w:w="2638"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cs="宋体"/>
                <w:b/>
                <w:bCs/>
                <w:color w:val="000000"/>
                <w:sz w:val="20"/>
                <w:szCs w:val="20"/>
                <w:u w:val="none"/>
              </w:rPr>
              <w:t>*</w:t>
            </w:r>
            <w:r>
              <w:rPr>
                <w:rFonts w:ascii="宋体" w:hAnsi="宋体" w:eastAsia="宋体" w:cs="宋体"/>
                <w:color w:val="000000"/>
                <w:kern w:val="0"/>
                <w:sz w:val="21"/>
                <w:szCs w:val="21"/>
                <w:lang w:bidi="ar"/>
              </w:rPr>
              <w:t>高空作业车</w:t>
            </w:r>
          </w:p>
        </w:tc>
        <w:tc>
          <w:tcPr>
            <w:tcW w:w="2019"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台</w:t>
            </w:r>
          </w:p>
        </w:tc>
        <w:tc>
          <w:tcPr>
            <w:tcW w:w="161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1</w:t>
            </w:r>
          </w:p>
        </w:tc>
        <w:tc>
          <w:tcPr>
            <w:tcW w:w="1614" w:type="dxa"/>
            <w:tcBorders>
              <w:top w:val="nil"/>
              <w:left w:val="nil"/>
              <w:bottom w:val="single" w:color="000000" w:sz="8" w:space="0"/>
              <w:right w:val="single" w:color="000000" w:sz="8" w:space="0"/>
            </w:tcBorders>
            <w:noWrap w:val="0"/>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r>
      <w:tr>
        <w:tblPrEx>
          <w:tblCellMar>
            <w:top w:w="0" w:type="dxa"/>
            <w:left w:w="108" w:type="dxa"/>
            <w:bottom w:w="0" w:type="dxa"/>
            <w:right w:w="108" w:type="dxa"/>
          </w:tblCellMar>
        </w:tblPrEx>
        <w:trPr>
          <w:trHeight w:val="617" w:hRule="atLeast"/>
          <w:jc w:val="center"/>
        </w:trPr>
        <w:tc>
          <w:tcPr>
            <w:tcW w:w="1451"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4</w:t>
            </w:r>
          </w:p>
        </w:tc>
        <w:tc>
          <w:tcPr>
            <w:tcW w:w="2638"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挖掘机</w:t>
            </w:r>
          </w:p>
        </w:tc>
        <w:tc>
          <w:tcPr>
            <w:tcW w:w="2019"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台</w:t>
            </w:r>
          </w:p>
        </w:tc>
        <w:tc>
          <w:tcPr>
            <w:tcW w:w="1614"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1</w:t>
            </w:r>
          </w:p>
        </w:tc>
        <w:tc>
          <w:tcPr>
            <w:tcW w:w="161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r>
      <w:tr>
        <w:tblPrEx>
          <w:tblCellMar>
            <w:top w:w="0" w:type="dxa"/>
            <w:left w:w="108" w:type="dxa"/>
            <w:bottom w:w="0" w:type="dxa"/>
            <w:right w:w="108" w:type="dxa"/>
          </w:tblCellMar>
        </w:tblPrEx>
        <w:trPr>
          <w:trHeight w:val="664" w:hRule="atLeast"/>
          <w:jc w:val="center"/>
        </w:trPr>
        <w:tc>
          <w:tcPr>
            <w:tcW w:w="1451"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5</w:t>
            </w:r>
          </w:p>
        </w:tc>
        <w:tc>
          <w:tcPr>
            <w:tcW w:w="2638"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轮胎式起重机（25T）</w:t>
            </w:r>
          </w:p>
        </w:tc>
        <w:tc>
          <w:tcPr>
            <w:tcW w:w="2019"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台</w:t>
            </w:r>
          </w:p>
        </w:tc>
        <w:tc>
          <w:tcPr>
            <w:tcW w:w="1614"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1</w:t>
            </w:r>
          </w:p>
        </w:tc>
        <w:tc>
          <w:tcPr>
            <w:tcW w:w="1614"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w:t>
            </w:r>
          </w:p>
        </w:tc>
      </w:tr>
      <w:tr>
        <w:tblPrEx>
          <w:tblCellMar>
            <w:top w:w="0" w:type="dxa"/>
            <w:left w:w="108" w:type="dxa"/>
            <w:bottom w:w="0" w:type="dxa"/>
            <w:right w:w="108" w:type="dxa"/>
          </w:tblCellMar>
        </w:tblPrEx>
        <w:trPr>
          <w:trHeight w:val="497" w:hRule="atLeast"/>
          <w:jc w:val="center"/>
        </w:trPr>
        <w:tc>
          <w:tcPr>
            <w:tcW w:w="1451"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6</w:t>
            </w:r>
          </w:p>
        </w:tc>
        <w:tc>
          <w:tcPr>
            <w:tcW w:w="2638"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自卸车</w:t>
            </w:r>
          </w:p>
        </w:tc>
        <w:tc>
          <w:tcPr>
            <w:tcW w:w="2019"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台</w:t>
            </w:r>
          </w:p>
        </w:tc>
        <w:tc>
          <w:tcPr>
            <w:tcW w:w="1614"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3</w:t>
            </w:r>
          </w:p>
        </w:tc>
        <w:tc>
          <w:tcPr>
            <w:tcW w:w="161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r>
      <w:tr>
        <w:tblPrEx>
          <w:tblCellMar>
            <w:top w:w="0" w:type="dxa"/>
            <w:left w:w="108" w:type="dxa"/>
            <w:bottom w:w="0" w:type="dxa"/>
            <w:right w:w="108" w:type="dxa"/>
          </w:tblCellMar>
        </w:tblPrEx>
        <w:trPr>
          <w:trHeight w:val="497" w:hRule="atLeast"/>
          <w:jc w:val="center"/>
        </w:trPr>
        <w:tc>
          <w:tcPr>
            <w:tcW w:w="1451"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w:t>
            </w:r>
          </w:p>
        </w:tc>
        <w:tc>
          <w:tcPr>
            <w:tcW w:w="263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空压机</w:t>
            </w:r>
          </w:p>
        </w:tc>
        <w:tc>
          <w:tcPr>
            <w:tcW w:w="201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台</w:t>
            </w:r>
          </w:p>
        </w:tc>
        <w:tc>
          <w:tcPr>
            <w:tcW w:w="161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1614" w:type="dxa"/>
            <w:tcBorders>
              <w:top w:val="nil"/>
              <w:left w:val="nil"/>
              <w:bottom w:val="single" w:color="000000" w:sz="8" w:space="0"/>
              <w:right w:val="single" w:color="000000" w:sz="8" w:space="0"/>
            </w:tcBorders>
            <w:noWrap w:val="0"/>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r>
      <w:tr>
        <w:tblPrEx>
          <w:tblCellMar>
            <w:top w:w="0" w:type="dxa"/>
            <w:left w:w="108" w:type="dxa"/>
            <w:bottom w:w="0" w:type="dxa"/>
            <w:right w:w="108" w:type="dxa"/>
          </w:tblCellMar>
        </w:tblPrEx>
        <w:trPr>
          <w:trHeight w:val="497" w:hRule="atLeast"/>
          <w:jc w:val="center"/>
        </w:trPr>
        <w:tc>
          <w:tcPr>
            <w:tcW w:w="1451"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w:t>
            </w:r>
          </w:p>
        </w:tc>
        <w:tc>
          <w:tcPr>
            <w:tcW w:w="263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发电机</w:t>
            </w:r>
          </w:p>
        </w:tc>
        <w:tc>
          <w:tcPr>
            <w:tcW w:w="201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台</w:t>
            </w:r>
          </w:p>
        </w:tc>
        <w:tc>
          <w:tcPr>
            <w:tcW w:w="161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1614" w:type="dxa"/>
            <w:tcBorders>
              <w:top w:val="nil"/>
              <w:left w:val="nil"/>
              <w:bottom w:val="single" w:color="000000" w:sz="8" w:space="0"/>
              <w:right w:val="single" w:color="000000" w:sz="8" w:space="0"/>
            </w:tcBorders>
            <w:noWrap w:val="0"/>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r>
      <w:tr>
        <w:tblPrEx>
          <w:tblCellMar>
            <w:top w:w="0" w:type="dxa"/>
            <w:left w:w="108" w:type="dxa"/>
            <w:bottom w:w="0" w:type="dxa"/>
            <w:right w:w="108" w:type="dxa"/>
          </w:tblCellMar>
        </w:tblPrEx>
        <w:trPr>
          <w:trHeight w:val="497" w:hRule="atLeast"/>
          <w:jc w:val="center"/>
        </w:trPr>
        <w:tc>
          <w:tcPr>
            <w:tcW w:w="1451"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9</w:t>
            </w:r>
          </w:p>
        </w:tc>
        <w:tc>
          <w:tcPr>
            <w:tcW w:w="2638"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砼回弹仪</w:t>
            </w:r>
          </w:p>
        </w:tc>
        <w:tc>
          <w:tcPr>
            <w:tcW w:w="2019"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台</w:t>
            </w:r>
          </w:p>
        </w:tc>
        <w:tc>
          <w:tcPr>
            <w:tcW w:w="1614"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1</w:t>
            </w:r>
          </w:p>
        </w:tc>
        <w:tc>
          <w:tcPr>
            <w:tcW w:w="161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r>
      <w:tr>
        <w:tblPrEx>
          <w:tblCellMar>
            <w:top w:w="0" w:type="dxa"/>
            <w:left w:w="108" w:type="dxa"/>
            <w:bottom w:w="0" w:type="dxa"/>
            <w:right w:w="108" w:type="dxa"/>
          </w:tblCellMar>
        </w:tblPrEx>
        <w:trPr>
          <w:trHeight w:val="497" w:hRule="atLeast"/>
          <w:jc w:val="center"/>
        </w:trPr>
        <w:tc>
          <w:tcPr>
            <w:tcW w:w="1451"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10</w:t>
            </w:r>
          </w:p>
        </w:tc>
        <w:tc>
          <w:tcPr>
            <w:tcW w:w="2638"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坍落度仪</w:t>
            </w:r>
          </w:p>
        </w:tc>
        <w:tc>
          <w:tcPr>
            <w:tcW w:w="2019"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台</w:t>
            </w:r>
          </w:p>
        </w:tc>
        <w:tc>
          <w:tcPr>
            <w:tcW w:w="1614" w:type="dxa"/>
            <w:tcBorders>
              <w:top w:val="nil"/>
              <w:left w:val="nil"/>
              <w:bottom w:val="single" w:color="000000" w:sz="8" w:space="0"/>
              <w:right w:val="single" w:color="000000" w:sz="8" w:space="0"/>
            </w:tcBorders>
            <w:noWrap w:val="0"/>
            <w:vAlign w:val="center"/>
          </w:tcPr>
          <w:p>
            <w:pPr>
              <w:widowControl/>
              <w:jc w:val="center"/>
              <w:textAlignment w:val="center"/>
              <w:rPr>
                <w:rFonts w:hint="default" w:ascii="宋体" w:hAnsi="宋体" w:eastAsia="宋体" w:cs="宋体"/>
                <w:color w:val="000000"/>
                <w:kern w:val="0"/>
                <w:sz w:val="21"/>
                <w:szCs w:val="21"/>
                <w:lang w:bidi="ar"/>
              </w:rPr>
            </w:pPr>
            <w:r>
              <w:rPr>
                <w:rFonts w:hint="default" w:ascii="宋体" w:hAnsi="宋体" w:eastAsia="宋体" w:cs="宋体"/>
                <w:color w:val="000000"/>
                <w:kern w:val="0"/>
                <w:sz w:val="21"/>
                <w:szCs w:val="21"/>
                <w:lang w:bidi="ar"/>
              </w:rPr>
              <w:t>1</w:t>
            </w:r>
          </w:p>
        </w:tc>
        <w:tc>
          <w:tcPr>
            <w:tcW w:w="161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r>
      <w:tr>
        <w:tblPrEx>
          <w:tblCellMar>
            <w:top w:w="0" w:type="dxa"/>
            <w:left w:w="108" w:type="dxa"/>
            <w:bottom w:w="0" w:type="dxa"/>
            <w:right w:w="108" w:type="dxa"/>
          </w:tblCellMar>
        </w:tblPrEx>
        <w:trPr>
          <w:trHeight w:val="537" w:hRule="atLeast"/>
          <w:jc w:val="center"/>
        </w:trPr>
        <w:tc>
          <w:tcPr>
            <w:tcW w:w="1451"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11</w:t>
            </w:r>
          </w:p>
        </w:tc>
        <w:tc>
          <w:tcPr>
            <w:tcW w:w="2638"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水准仪</w:t>
            </w:r>
          </w:p>
        </w:tc>
        <w:tc>
          <w:tcPr>
            <w:tcW w:w="2019"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套</w:t>
            </w:r>
          </w:p>
        </w:tc>
        <w:tc>
          <w:tcPr>
            <w:tcW w:w="1614" w:type="dxa"/>
            <w:tcBorders>
              <w:top w:val="nil"/>
              <w:left w:val="nil"/>
              <w:bottom w:val="single" w:color="000000" w:sz="8" w:space="0"/>
              <w:right w:val="single" w:color="000000" w:sz="8" w:space="0"/>
            </w:tcBorders>
            <w:noWrap w:val="0"/>
            <w:vAlign w:val="center"/>
          </w:tcPr>
          <w:p>
            <w:pPr>
              <w:widowControl/>
              <w:jc w:val="center"/>
              <w:textAlignment w:val="center"/>
              <w:rPr>
                <w:rFonts w:hint="default" w:ascii="宋体" w:hAnsi="宋体" w:eastAsia="宋体" w:cs="宋体"/>
                <w:color w:val="000000"/>
                <w:kern w:val="0"/>
                <w:sz w:val="21"/>
                <w:szCs w:val="21"/>
                <w:lang w:bidi="ar"/>
              </w:rPr>
            </w:pPr>
            <w:r>
              <w:rPr>
                <w:rFonts w:ascii="宋体" w:hAnsi="宋体" w:eastAsia="宋体" w:cs="宋体"/>
                <w:color w:val="000000"/>
                <w:kern w:val="0"/>
                <w:sz w:val="21"/>
                <w:szCs w:val="21"/>
                <w:lang w:bidi="ar"/>
              </w:rPr>
              <w:t>1</w:t>
            </w:r>
          </w:p>
        </w:tc>
        <w:tc>
          <w:tcPr>
            <w:tcW w:w="161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r>
    </w:tbl>
    <w:p>
      <w:pPr>
        <w:widowControl/>
        <w:jc w:val="left"/>
        <w:rPr>
          <w:rFonts w:hint="eastAsia" w:ascii="宋体" w:hAnsi="宋体" w:cs="宋体"/>
          <w:sz w:val="18"/>
          <w:szCs w:val="18"/>
          <w:u w:val="single"/>
        </w:rPr>
      </w:pPr>
      <w:r>
        <w:rPr>
          <w:rFonts w:hint="eastAsia" w:ascii="宋体" w:hAnsi="宋体" w:cs="宋体"/>
          <w:sz w:val="18"/>
          <w:szCs w:val="18"/>
        </w:rPr>
        <w:t>注：</w:t>
      </w:r>
      <w:r>
        <w:rPr>
          <w:rFonts w:hint="eastAsia" w:ascii="宋体" w:hAnsi="宋体" w:cs="宋体"/>
          <w:color w:val="FF0000"/>
          <w:kern w:val="0"/>
          <w:sz w:val="18"/>
          <w:szCs w:val="18"/>
          <w:u w:val="single"/>
          <w:lang w:bidi="ar"/>
        </w:rPr>
        <w:t>投标人应按招标文件第八章“投标文件格式”相应内容、表格及下注说明的要求在其投标文件中填写相关内容、表格；</w:t>
      </w:r>
      <w:r>
        <w:rPr>
          <w:rFonts w:hint="eastAsia" w:ascii="宋体" w:hAnsi="宋体" w:cs="宋体"/>
          <w:b/>
          <w:bCs/>
          <w:color w:val="FF0000"/>
          <w:sz w:val="20"/>
          <w:szCs w:val="20"/>
          <w:u w:val="single"/>
        </w:rPr>
        <w:t>其中标记有“*”的设备应附有效的证明材料复印件（自有设备需提供发票、租赁设备需提供租赁合同）</w:t>
      </w:r>
      <w:r>
        <w:rPr>
          <w:rFonts w:hint="eastAsia" w:ascii="宋体" w:hAnsi="宋体" w:cs="宋体"/>
          <w:color w:val="FF0000"/>
          <w:kern w:val="0"/>
          <w:sz w:val="18"/>
          <w:szCs w:val="18"/>
          <w:u w:val="single"/>
          <w:lang w:bidi="ar"/>
        </w:rPr>
        <w:t>。</w:t>
      </w:r>
      <w:r>
        <w:rPr>
          <w:rFonts w:hint="eastAsia" w:ascii="宋体" w:hAnsi="宋体" w:cs="宋体"/>
          <w:kern w:val="0"/>
          <w:sz w:val="18"/>
          <w:szCs w:val="18"/>
          <w:u w:val="single"/>
          <w:lang w:bidi="ar"/>
        </w:rPr>
        <w:t>如未按要求填写的，评标委员会在对其投标进行评审时将不予通过</w:t>
      </w:r>
      <w:r>
        <w:rPr>
          <w:rFonts w:hint="eastAsia" w:ascii="宋体" w:hAnsi="宋体" w:cs="宋体"/>
          <w:sz w:val="18"/>
          <w:szCs w:val="18"/>
        </w:rPr>
        <w:t>。</w:t>
      </w:r>
    </w:p>
    <w:p>
      <w:pPr>
        <w:widowControl/>
        <w:spacing w:line="240" w:lineRule="auto"/>
        <w:jc w:val="left"/>
        <w:rPr>
          <w:rFonts w:hint="eastAsia" w:ascii="宋体" w:hAnsi="宋体" w:cs="宋体"/>
          <w:bCs/>
          <w:kern w:val="0"/>
          <w:szCs w:val="20"/>
        </w:rPr>
        <w:sectPr>
          <w:footerReference r:id="rId8" w:type="default"/>
          <w:footnotePr>
            <w:numFmt w:val="decimalEnclosedCircleChinese"/>
            <w:numRestart w:val="eachPage"/>
          </w:footnotePr>
          <w:pgSz w:w="11907" w:h="16840"/>
          <w:pgMar w:top="1417" w:right="1417" w:bottom="1417" w:left="1417" w:header="850" w:footer="850" w:gutter="0"/>
          <w:cols w:space="720" w:num="1"/>
          <w:docGrid w:linePitch="312" w:charSpace="0"/>
        </w:sectPr>
      </w:pPr>
    </w:p>
    <w:p>
      <w:pPr>
        <w:pStyle w:val="5"/>
        <w:rPr>
          <w:rFonts w:hint="eastAsia" w:ascii="宋体" w:hAnsi="宋体" w:eastAsia="宋体" w:cs="宋体"/>
          <w:iCs w:val="0"/>
        </w:rPr>
      </w:pPr>
      <w:bookmarkStart w:id="21" w:name="_Toc10115"/>
      <w:bookmarkStart w:id="22" w:name="_Toc1407"/>
      <w:r>
        <w:rPr>
          <w:rFonts w:hint="eastAsia" w:ascii="宋体" w:hAnsi="宋体" w:eastAsia="宋体" w:cs="宋体"/>
          <w:iCs w:val="0"/>
        </w:rPr>
        <w:t>附录6  资格审查条件(业绩最低要求)</w:t>
      </w:r>
      <w:bookmarkEnd w:id="21"/>
      <w:bookmarkEnd w:id="22"/>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935" w:type="dxa"/>
            <w:noWrap w:val="0"/>
            <w:vAlign w:val="center"/>
          </w:tcPr>
          <w:p>
            <w:pPr>
              <w:spacing w:line="240" w:lineRule="auto"/>
              <w:jc w:val="center"/>
              <w:rPr>
                <w:rFonts w:ascii="宋体" w:hAnsi="宋体" w:cs="宋体"/>
                <w:b/>
              </w:rPr>
            </w:pPr>
            <w:r>
              <w:rPr>
                <w:rFonts w:ascii="宋体" w:hAnsi="宋体" w:cs="宋体"/>
                <w:b/>
              </w:rPr>
              <w:t>标段号</w:t>
            </w:r>
          </w:p>
        </w:tc>
        <w:tc>
          <w:tcPr>
            <w:tcW w:w="7054" w:type="dxa"/>
            <w:noWrap w:val="0"/>
            <w:vAlign w:val="center"/>
          </w:tcPr>
          <w:p>
            <w:pPr>
              <w:spacing w:line="240" w:lineRule="auto"/>
              <w:jc w:val="center"/>
              <w:rPr>
                <w:rFonts w:ascii="宋体" w:hAnsi="宋体" w:cs="宋体"/>
                <w:b/>
              </w:rPr>
            </w:pPr>
            <w:r>
              <w:rPr>
                <w:rFonts w:ascii="宋体" w:hAnsi="宋体" w:cs="宋体"/>
                <w:b/>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35" w:type="dxa"/>
            <w:noWrap w:val="0"/>
            <w:vAlign w:val="center"/>
          </w:tcPr>
          <w:p>
            <w:pPr>
              <w:spacing w:line="240" w:lineRule="auto"/>
              <w:jc w:val="center"/>
              <w:rPr>
                <w:rFonts w:hint="default" w:ascii="宋体" w:hAnsi="宋体" w:eastAsia="宋体" w:cs="宋体"/>
                <w:lang w:val="en-US" w:eastAsia="zh-CN"/>
              </w:rPr>
            </w:pPr>
            <w:r>
              <w:rPr>
                <w:rFonts w:hint="eastAsia" w:ascii="宋体" w:hAnsi="宋体" w:eastAsia="宋体" w:cs="宋体"/>
                <w:lang w:val="en-US" w:eastAsia="zh-CN"/>
              </w:rPr>
              <w:t>所有标段</w:t>
            </w:r>
          </w:p>
        </w:tc>
        <w:tc>
          <w:tcPr>
            <w:tcW w:w="7054" w:type="dxa"/>
            <w:noWrap w:val="0"/>
            <w:vAlign w:val="center"/>
          </w:tcPr>
          <w:p>
            <w:pPr>
              <w:spacing w:line="240" w:lineRule="auto"/>
              <w:jc w:val="left"/>
              <w:rPr>
                <w:rFonts w:ascii="宋体" w:hAnsi="宋体" w:cs="宋体"/>
              </w:rPr>
            </w:pPr>
            <w:r>
              <w:rPr>
                <w:rFonts w:ascii="宋体" w:hAnsi="宋体"/>
                <w:sz w:val="22"/>
                <w:szCs w:val="22"/>
              </w:rPr>
              <w:t>投标人近三年须具有不少于1项桥涵工程施工业绩，单个合同金额不少于300万。</w:t>
            </w:r>
          </w:p>
        </w:tc>
      </w:tr>
    </w:tbl>
    <w:p>
      <w:pPr>
        <w:widowControl/>
        <w:jc w:val="left"/>
        <w:rPr>
          <w:rFonts w:hint="eastAsia" w:ascii="宋体" w:hAnsi="宋体" w:cs="宋体"/>
          <w:sz w:val="20"/>
          <w:szCs w:val="20"/>
        </w:rPr>
      </w:pPr>
      <w:r>
        <w:rPr>
          <w:rFonts w:hint="eastAsia" w:ascii="宋体" w:hAnsi="宋体" w:cs="宋体"/>
          <w:sz w:val="18"/>
          <w:szCs w:val="18"/>
        </w:rPr>
        <w:t>注：</w:t>
      </w:r>
      <w:r>
        <w:rPr>
          <w:rFonts w:hint="eastAsia" w:ascii="宋体" w:hAnsi="宋体" w:cs="宋体"/>
          <w:sz w:val="18"/>
          <w:szCs w:val="18"/>
          <w:u w:val="single"/>
        </w:rPr>
        <w:t>1.</w:t>
      </w:r>
      <w:r>
        <w:rPr>
          <w:rFonts w:hint="eastAsia" w:ascii="宋体" w:hAnsi="宋体" w:cs="宋体"/>
          <w:color w:val="FF0000"/>
          <w:sz w:val="18"/>
          <w:szCs w:val="18"/>
          <w:u w:val="single"/>
        </w:rPr>
        <w:t>投标人应按招标文件第八章“投标文件格式”相应内容、表格及下注说明的要求在其投标文件中填写相关内容、表格并在相应位置提供要求的证明材料。</w:t>
      </w:r>
      <w:r>
        <w:rPr>
          <w:rFonts w:hint="eastAsia" w:ascii="宋体" w:hAnsi="宋体" w:cs="宋体"/>
          <w:sz w:val="18"/>
          <w:szCs w:val="18"/>
          <w:u w:val="single"/>
        </w:rPr>
        <w:t>如未按要求填写或未按要求提供要求的证明材料的或提供的证明材料不满足要求或不足以证明其满足要求的，评标委员会在对其投标进行评审时将不予通过；</w:t>
      </w:r>
      <w:r>
        <w:rPr>
          <w:rFonts w:hint="eastAsia" w:ascii="宋体" w:hAnsi="宋体" w:cs="宋体"/>
          <w:color w:val="FF0000"/>
          <w:sz w:val="18"/>
          <w:szCs w:val="18"/>
          <w:u w:val="single"/>
        </w:rPr>
        <w:t>2.本招标公告及招标文件所指的近三年，即合同签订时间为2019年01月01日至递交投标文件的截止时间前一日</w:t>
      </w:r>
      <w:r>
        <w:rPr>
          <w:rFonts w:hint="eastAsia" w:ascii="宋体" w:hAnsi="宋体" w:cs="宋体"/>
          <w:color w:val="FF0000"/>
          <w:sz w:val="18"/>
          <w:szCs w:val="18"/>
        </w:rPr>
        <w:t>。</w:t>
      </w:r>
    </w:p>
    <w:p>
      <w:pPr>
        <w:spacing w:line="200" w:lineRule="exact"/>
        <w:jc w:val="center"/>
        <w:rPr>
          <w:rStyle w:val="15"/>
          <w:rFonts w:hint="eastAsia" w:ascii="宋体" w:hAnsi="宋体" w:eastAsia="宋体" w:cs="宋体"/>
          <w:sz w:val="42"/>
          <w:szCs w:val="42"/>
        </w:rPr>
      </w:pPr>
    </w:p>
    <w:p>
      <w:bookmarkStart w:id="23" w:name="_GoBack"/>
      <w:bookmarkEnd w:id="2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t xml:space="preserve">第 </w:t>
                          </w:r>
                          <w:r>
                            <w:fldChar w:fldCharType="begin"/>
                          </w:r>
                          <w:r>
                            <w:instrText xml:space="preserve"> PAGE  \* MERGEFORMAT </w:instrText>
                          </w:r>
                          <w:r>
                            <w:fldChar w:fldCharType="separate"/>
                          </w:r>
                          <w:r>
                            <w:t>- 5 -</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- 5 -</w:t>
                    </w:r>
                    <w:r>
                      <w:fldChar w:fldCharType="end"/>
                    </w:r>
                    <w:r>
                      <w:t xml:space="preserve"> 页</w:t>
                    </w:r>
                  </w:p>
                </w:txbxContent>
              </v:textbox>
            </v:shape>
          </w:pict>
        </mc:Fallback>
      </mc:AlternateContent>
    </w:r>
  </w:p>
  <w:p>
    <w:pPr>
      <w:pStyle w:val="7"/>
      <w:spacing w:line="240" w:lineRule="exact"/>
      <w:ind w:right="360" w:firstLine="360"/>
      <w:jc w:val="center"/>
      <w:rPr>
        <w:rFonts w:hint="eastAsia" w:eastAsia="黑体"/>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93</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path/>
              <v:fill on="f" focussize="0,0"/>
              <v:stroke on="f"/>
              <v:imagedata o:title=""/>
              <o:lock v:ext="edit" aspectratio="f"/>
              <v:textbox inset="0mm,0mm,0mm,0mm" style="mso-fit-shape-to-text:t;">
                <w:txbxContent>
                  <w:p>
                    <w:pPr>
                      <w:pStyle w:val="7"/>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93</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t xml:space="preserve">第 </w:t>
                          </w:r>
                          <w:r>
                            <w:fldChar w:fldCharType="begin"/>
                          </w:r>
                          <w:r>
                            <w:instrText xml:space="preserve"> PAGE  \* MERGEFORMAT </w:instrText>
                          </w:r>
                          <w:r>
                            <w:fldChar w:fldCharType="separate"/>
                          </w:r>
                          <w:r>
                            <w:t>- 7 -</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- 7 -</w:t>
                    </w:r>
                    <w:r>
                      <w:fldChar w:fldCharType="end"/>
                    </w:r>
                    <w:r>
                      <w:t xml:space="preserve"> 页</w:t>
                    </w:r>
                  </w:p>
                </w:txbxContent>
              </v:textbox>
            </v:shape>
          </w:pict>
        </mc:Fallback>
      </mc:AlternateContent>
    </w:r>
  </w:p>
  <w:p>
    <w:pPr>
      <w:pStyle w:val="7"/>
      <w:spacing w:line="240" w:lineRule="exact"/>
      <w:ind w:right="360" w:firstLine="360"/>
      <w:jc w:val="center"/>
      <w:rPr>
        <w:rFonts w:hint="eastAsia" w:eastAsia="黑体"/>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t xml:space="preserve">第 </w:t>
                          </w:r>
                          <w:r>
                            <w:fldChar w:fldCharType="begin"/>
                          </w:r>
                          <w:r>
                            <w:instrText xml:space="preserve"> PAGE  \* MERGEFORMAT </w:instrText>
                          </w:r>
                          <w:r>
                            <w:fldChar w:fldCharType="separate"/>
                          </w:r>
                          <w:r>
                            <w:t>- 8 -</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path/>
              <v:fill on="f" focussize="0,0"/>
              <v:stroke on="f" weight="1.2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- 8 -</w:t>
                    </w:r>
                    <w:r>
                      <w:fldChar w:fldCharType="end"/>
                    </w:r>
                    <w:r>
                      <w:t xml:space="preserve"> 页</w:t>
                    </w:r>
                  </w:p>
                </w:txbxContent>
              </v:textbox>
            </v:shape>
          </w:pict>
        </mc:Fallback>
      </mc:AlternateContent>
    </w:r>
  </w:p>
  <w:p>
    <w:pPr>
      <w:pStyle w:val="7"/>
      <w:spacing w:line="240" w:lineRule="exact"/>
      <w:ind w:right="360" w:firstLine="360"/>
      <w:jc w:val="center"/>
      <w:rPr>
        <w:rFonts w:hint="eastAsia" w:eastAsia="黑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0NmJiNDA1YTU1MjM0ZmRhMDU1OWNiMDQyODgyZTEifQ=="/>
  </w:docVars>
  <w:rsids>
    <w:rsidRoot w:val="42DB717E"/>
    <w:rsid w:val="085211B5"/>
    <w:rsid w:val="14FF08EA"/>
    <w:rsid w:val="42DB7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4"/>
      <w:szCs w:val="24"/>
      <w:lang w:val="en-US" w:eastAsia="zh-CN" w:bidi="ar-SA"/>
    </w:rPr>
  </w:style>
  <w:style w:type="paragraph" w:styleId="4">
    <w:name w:val="heading 1"/>
    <w:basedOn w:val="1"/>
    <w:next w:val="1"/>
    <w:qFormat/>
    <w:uiPriority w:val="0"/>
    <w:pPr>
      <w:keepNext/>
      <w:keepLines/>
      <w:spacing w:before="200" w:beforeLines="0" w:after="200" w:afterLines="0" w:line="400" w:lineRule="exact"/>
      <w:jc w:val="left"/>
      <w:outlineLvl w:val="0"/>
    </w:pPr>
    <w:rPr>
      <w:rFonts w:eastAsia="黑体"/>
      <w:bCs/>
      <w:kern w:val="44"/>
      <w:szCs w:val="44"/>
    </w:rPr>
  </w:style>
  <w:style w:type="paragraph" w:styleId="5">
    <w:name w:val="heading 3"/>
    <w:basedOn w:val="1"/>
    <w:next w:val="1"/>
    <w:qFormat/>
    <w:uiPriority w:val="0"/>
    <w:pPr>
      <w:widowControl/>
      <w:spacing w:before="120" w:beforeLines="0" w:after="120" w:afterLines="0" w:line="360" w:lineRule="auto"/>
      <w:outlineLvl w:val="2"/>
    </w:pPr>
    <w:rPr>
      <w:rFonts w:eastAsia="黑体"/>
      <w:bCs/>
      <w:iCs/>
      <w:kern w:val="0"/>
      <w:szCs w:val="20"/>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szCs w:val="24"/>
    </w:rPr>
  </w:style>
  <w:style w:type="paragraph" w:styleId="3">
    <w:name w:val="Body Text Indent"/>
    <w:basedOn w:val="1"/>
    <w:next w:val="1"/>
    <w:qFormat/>
    <w:uiPriority w:val="0"/>
    <w:pPr>
      <w:spacing w:after="120" w:afterLines="0"/>
      <w:ind w:left="420" w:leftChars="200"/>
    </w:pPr>
  </w:style>
  <w:style w:type="paragraph" w:styleId="6">
    <w:name w:val="Body Text"/>
    <w:basedOn w:val="1"/>
    <w:next w:val="1"/>
    <w:qFormat/>
    <w:uiPriority w:val="0"/>
    <w:pPr>
      <w:spacing w:after="120" w:afterLines="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line="240" w:lineRule="auto"/>
      <w:jc w:val="left"/>
    </w:pPr>
    <w:rPr>
      <w:kern w:val="0"/>
    </w:rPr>
  </w:style>
  <w:style w:type="paragraph" w:styleId="9">
    <w:name w:val="Title"/>
    <w:basedOn w:val="1"/>
    <w:link w:val="15"/>
    <w:qFormat/>
    <w:uiPriority w:val="0"/>
    <w:pPr>
      <w:adjustRightInd w:val="0"/>
      <w:spacing w:before="240" w:beforeLines="0" w:after="60" w:afterLines="0" w:line="420" w:lineRule="atLeast"/>
      <w:jc w:val="center"/>
      <w:textAlignment w:val="baseline"/>
      <w:outlineLvl w:val="0"/>
    </w:pPr>
    <w:rPr>
      <w:rFonts w:ascii="Arial" w:hAnsi="Arial" w:eastAsia="黑体"/>
      <w:b/>
      <w:kern w:val="0"/>
      <w:sz w:val="44"/>
      <w:szCs w:val="20"/>
    </w:rPr>
  </w:style>
  <w:style w:type="paragraph" w:styleId="10">
    <w:name w:val="Body Text First Indent"/>
    <w:basedOn w:val="6"/>
    <w:qFormat/>
    <w:uiPriority w:val="0"/>
    <w:pPr>
      <w:ind w:firstLine="420" w:firstLineChars="100"/>
    </w:pPr>
  </w:style>
  <w:style w:type="character" w:customStyle="1" w:styleId="13">
    <w:name w:val="font41"/>
    <w:basedOn w:val="12"/>
    <w:qFormat/>
    <w:uiPriority w:val="0"/>
    <w:rPr>
      <w:rFonts w:hint="eastAsia" w:ascii="宋体" w:hAnsi="宋体" w:eastAsia="宋体" w:cs="宋体"/>
      <w:color w:val="000000"/>
      <w:sz w:val="21"/>
      <w:szCs w:val="21"/>
      <w:u w:val="none"/>
    </w:rPr>
  </w:style>
  <w:style w:type="character" w:customStyle="1" w:styleId="14">
    <w:name w:val="font21"/>
    <w:qFormat/>
    <w:uiPriority w:val="0"/>
    <w:rPr>
      <w:rFonts w:hint="eastAsia" w:ascii="宋体" w:hAnsi="宋体" w:eastAsia="宋体" w:cs="宋体"/>
      <w:b/>
      <w:bCs/>
      <w:color w:val="000000"/>
      <w:sz w:val="21"/>
      <w:szCs w:val="21"/>
      <w:u w:val="none"/>
    </w:rPr>
  </w:style>
  <w:style w:type="character" w:customStyle="1" w:styleId="15">
    <w:name w:val="标题 字符"/>
    <w:link w:val="9"/>
    <w:uiPriority w:val="0"/>
    <w:rPr>
      <w:rFonts w:ascii="Arial" w:hAnsi="Arial" w:eastAsia="黑体"/>
      <w:b/>
      <w:kern w:val="0"/>
      <w:sz w:val="4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2022-08-05T07:19:00Z</dcterms:created>
  <dc:creator>吴大为</dc:creator>
  <cp:lastModifiedBy>吴大为</cp:lastModifiedBy>
  <dcterms:modified xsi:type="dcterms:W3CDTF">2022-08-05T07:20:15Z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52DC01A86E6442A4B35FFC1C96AFF746</vt:lpwstr>
  </property>
</Properties>
</file>