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b/>
          <w:bCs w:val="0"/>
          <w:i w:val="0"/>
          <w:iCs w:val="0"/>
          <w:color w:val="auto"/>
          <w:szCs w:val="28"/>
          <w:highlight w:val="none"/>
        </w:rPr>
      </w:pPr>
      <w:bookmarkStart w:id="0" w:name="_Toc14937"/>
      <w:bookmarkStart w:id="1" w:name="_Toc2847"/>
      <w:r>
        <w:rPr>
          <w:rFonts w:hint="eastAsia" w:ascii="宋体" w:hAnsi="宋体" w:eastAsia="宋体" w:cs="宋体"/>
          <w:b/>
          <w:bCs w:val="0"/>
          <w:i w:val="0"/>
          <w:iCs w:val="0"/>
          <w:color w:val="auto"/>
          <w:highlight w:val="none"/>
        </w:rPr>
        <w:t>附 录：</w:t>
      </w:r>
      <w:bookmarkEnd w:id="0"/>
      <w:bookmarkEnd w:id="1"/>
    </w:p>
    <w:p>
      <w:pPr>
        <w:pStyle w:val="5"/>
        <w:rPr>
          <w:rFonts w:hint="eastAsia" w:ascii="宋体" w:hAnsi="宋体" w:eastAsia="宋体" w:cs="宋体"/>
          <w:i w:val="0"/>
          <w:iCs w:val="0"/>
          <w:color w:val="auto"/>
          <w:highlight w:val="none"/>
        </w:rPr>
      </w:pPr>
      <w:bookmarkStart w:id="2" w:name="_Toc533720421"/>
      <w:bookmarkStart w:id="3" w:name="_Toc14816"/>
      <w:bookmarkStart w:id="4" w:name="_Toc531859200"/>
      <w:bookmarkStart w:id="5" w:name="_Toc14185"/>
      <w:bookmarkStart w:id="6" w:name="_Toc25298"/>
      <w:r>
        <w:rPr>
          <w:rFonts w:hint="eastAsia" w:ascii="宋体" w:hAnsi="宋体" w:eastAsia="宋体" w:cs="宋体"/>
          <w:i w:val="0"/>
          <w:iCs w:val="0"/>
          <w:color w:val="auto"/>
          <w:highlight w:val="none"/>
        </w:rPr>
        <w:t>附录1  资格审查条件(资质最低要求)</w:t>
      </w:r>
      <w:bookmarkEnd w:id="2"/>
      <w:bookmarkEnd w:id="3"/>
      <w:bookmarkEnd w:id="4"/>
      <w:bookmarkEnd w:id="5"/>
      <w:bookmarkEnd w:id="6"/>
    </w:p>
    <w:tbl>
      <w:tblPr>
        <w:tblStyle w:val="10"/>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320" w:type="dxa"/>
            <w:noWrap w:val="0"/>
            <w:vAlign w:val="center"/>
          </w:tcPr>
          <w:p>
            <w:pPr>
              <w:jc w:val="center"/>
              <w:rPr>
                <w:rFonts w:hint="eastAsia" w:ascii="宋体" w:hAnsi="宋体" w:eastAsia="宋体" w:cs="宋体"/>
                <w:bCs/>
                <w:i w:val="0"/>
                <w:iCs w:val="0"/>
                <w:color w:val="auto"/>
                <w:sz w:val="24"/>
                <w:szCs w:val="24"/>
                <w:highlight w:val="none"/>
              </w:rPr>
            </w:pPr>
            <w:r>
              <w:rPr>
                <w:rFonts w:hint="eastAsia" w:ascii="宋体" w:hAnsi="宋体" w:eastAsia="宋体" w:cs="宋体"/>
                <w:i w:val="0"/>
                <w:iCs w:val="0"/>
                <w:color w:val="auto"/>
                <w:sz w:val="24"/>
                <w:szCs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9320" w:type="dxa"/>
            <w:noWrap w:val="0"/>
            <w:vAlign w:val="center"/>
          </w:tcPr>
          <w:p>
            <w:pPr>
              <w:jc w:val="both"/>
              <w:rPr>
                <w:rFonts w:hint="eastAsia" w:ascii="宋体" w:hAnsi="宋体" w:eastAsia="宋体" w:cs="宋体"/>
                <w:b w:val="0"/>
                <w:bCs w:val="0"/>
                <w:i w:val="0"/>
                <w:iCs w:val="0"/>
                <w:color w:val="auto"/>
                <w:sz w:val="22"/>
                <w:szCs w:val="22"/>
                <w:highlight w:val="none"/>
                <w:lang w:eastAsia="zh-CN"/>
              </w:rPr>
            </w:pPr>
            <w:r>
              <w:rPr>
                <w:rFonts w:hint="eastAsia" w:ascii="宋体" w:hAnsi="宋体" w:eastAsia="宋体" w:cs="宋体"/>
                <w:b w:val="0"/>
                <w:bCs w:val="0"/>
                <w:i w:val="0"/>
                <w:iCs w:val="0"/>
                <w:color w:val="auto"/>
                <w:sz w:val="22"/>
                <w:szCs w:val="22"/>
                <w:highlight w:val="none"/>
              </w:rPr>
              <w:t>须具备湖北省高速公路实业开发有限公司协作单位资源库GK-1（日常小修保养）协作单位</w:t>
            </w:r>
            <w:r>
              <w:rPr>
                <w:rFonts w:hint="eastAsia" w:ascii="宋体" w:hAnsi="宋体" w:eastAsia="宋体" w:cs="宋体"/>
                <w:b w:val="0"/>
                <w:bCs w:val="0"/>
                <w:i w:val="0"/>
                <w:iCs w:val="0"/>
                <w:color w:val="auto"/>
                <w:sz w:val="22"/>
                <w:szCs w:val="22"/>
                <w:highlight w:val="none"/>
                <w:lang w:eastAsia="zh-CN"/>
              </w:rPr>
              <w:t>。</w:t>
            </w:r>
          </w:p>
        </w:tc>
      </w:tr>
    </w:tbl>
    <w:p>
      <w:pPr>
        <w:widowControl/>
        <w:jc w:val="left"/>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rPr>
        <w:t>注：</w:t>
      </w:r>
      <w:r>
        <w:rPr>
          <w:rFonts w:hint="eastAsia" w:ascii="宋体" w:hAnsi="宋体" w:eastAsia="宋体" w:cs="宋体"/>
          <w:b/>
          <w:bCs/>
          <w:i w:val="0"/>
          <w:iCs w:val="0"/>
          <w:color w:val="auto"/>
          <w:sz w:val="21"/>
          <w:szCs w:val="21"/>
          <w:highlight w:val="none"/>
          <w:u w:val="single"/>
        </w:rPr>
        <w:t>提供入围通知书复印件</w:t>
      </w:r>
      <w:r>
        <w:rPr>
          <w:rFonts w:hint="eastAsia" w:ascii="宋体" w:hAnsi="宋体" w:eastAsia="宋体" w:cs="宋体"/>
          <w:i w:val="0"/>
          <w:iCs w:val="0"/>
          <w:color w:val="auto"/>
          <w:sz w:val="18"/>
          <w:szCs w:val="18"/>
          <w:highlight w:val="none"/>
        </w:rPr>
        <w:t>。</w:t>
      </w:r>
    </w:p>
    <w:p>
      <w:pPr>
        <w:pStyle w:val="5"/>
        <w:rPr>
          <w:rFonts w:hint="eastAsia" w:ascii="宋体" w:hAnsi="宋体" w:eastAsia="宋体" w:cs="宋体"/>
          <w:i w:val="0"/>
          <w:iCs w:val="0"/>
          <w:color w:val="auto"/>
          <w:highlight w:val="none"/>
        </w:rPr>
        <w:sectPr>
          <w:footerReference r:id="rId5" w:type="default"/>
          <w:footerReference r:id="rId6" w:type="even"/>
          <w:footnotePr>
            <w:numFmt w:val="decimalEnclosedCircleChinese"/>
            <w:numRestart w:val="eachPage"/>
          </w:footnotePr>
          <w:pgSz w:w="11907" w:h="16840"/>
          <w:pgMar w:top="1417" w:right="1417" w:bottom="1417" w:left="1417" w:header="851" w:footer="850" w:gutter="0"/>
          <w:pgNumType w:fmt="decimal"/>
          <w:cols w:space="720" w:num="1"/>
          <w:docGrid w:linePitch="312" w:charSpace="0"/>
        </w:sectPr>
      </w:pPr>
      <w:bookmarkStart w:id="7" w:name="_Toc531859203"/>
      <w:bookmarkStart w:id="8" w:name="_Toc533720424"/>
      <w:bookmarkStart w:id="9" w:name="_Toc30142"/>
      <w:bookmarkStart w:id="10" w:name="_Toc10241"/>
      <w:bookmarkStart w:id="11" w:name="_Toc25022"/>
    </w:p>
    <w:p>
      <w:pPr>
        <w:pStyle w:val="5"/>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附录2  资格审查条件(信誉最低要求)</w:t>
      </w:r>
      <w:bookmarkEnd w:id="7"/>
      <w:bookmarkEnd w:id="8"/>
      <w:bookmarkEnd w:id="9"/>
      <w:bookmarkEnd w:id="10"/>
      <w:bookmarkEnd w:id="1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452" w:type="dxa"/>
            <w:noWrap w:val="0"/>
            <w:vAlign w:val="center"/>
          </w:tcPr>
          <w:p>
            <w:pPr>
              <w:jc w:val="center"/>
              <w:rPr>
                <w:rFonts w:hint="eastAsia" w:ascii="宋体" w:hAnsi="宋体" w:eastAsia="宋体" w:cs="宋体"/>
                <w:i w:val="0"/>
                <w:iCs w:val="0"/>
                <w:color w:val="auto"/>
                <w:highlight w:val="none"/>
              </w:rPr>
            </w:pPr>
            <w:r>
              <w:rPr>
                <w:rFonts w:hint="eastAsia" w:ascii="宋体" w:hAnsi="宋体" w:eastAsia="宋体" w:cs="宋体"/>
                <w:bCs/>
                <w:i w:val="0"/>
                <w:iCs w:val="0"/>
                <w:color w:val="auto"/>
                <w:highlight w:val="none"/>
              </w:rPr>
              <w:t>标段号</w:t>
            </w:r>
          </w:p>
        </w:tc>
        <w:tc>
          <w:tcPr>
            <w:tcW w:w="7478" w:type="dxa"/>
            <w:noWrap w:val="0"/>
            <w:vAlign w:val="center"/>
          </w:tcPr>
          <w:p>
            <w:pPr>
              <w:adjustRightInd w:val="0"/>
              <w:snapToGrid w:val="0"/>
              <w:spacing w:line="400" w:lineRule="atLeast"/>
              <w:jc w:val="center"/>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信誉要求（各标段）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5" w:hRule="atLeast"/>
          <w:jc w:val="center"/>
        </w:trPr>
        <w:tc>
          <w:tcPr>
            <w:tcW w:w="1452" w:type="dxa"/>
            <w:noWrap w:val="0"/>
            <w:vAlign w:val="center"/>
          </w:tcPr>
          <w:p>
            <w:pPr>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所有标段</w:t>
            </w:r>
          </w:p>
        </w:tc>
        <w:tc>
          <w:tcPr>
            <w:tcW w:w="7478" w:type="dxa"/>
            <w:noWrap w:val="0"/>
            <w:vAlign w:val="center"/>
          </w:tcPr>
          <w:p>
            <w:pP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投标人不得存在下列不良状况或不良信用记录：</w:t>
            </w:r>
          </w:p>
          <w:p>
            <w:pPr>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（1）被省级及以上交通运输主管部门取消招标项目所在地的投标资格且处于有效期内；</w:t>
            </w:r>
          </w:p>
          <w:p>
            <w:pPr>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（2）被责令停业，暂扣或吊销执照，或吊销资质证书；</w:t>
            </w:r>
          </w:p>
          <w:p>
            <w:pPr>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（3）进入清算程序，或被宣告破产，或其他丧失履约能力的情形；</w:t>
            </w:r>
          </w:p>
          <w:p>
            <w:pPr>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（4）在国家企业信用信息公示系统（http://www.gsxt.gov.cn/）中被列入严重违法失信企业名单；</w:t>
            </w:r>
          </w:p>
          <w:p>
            <w:pPr>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（5）在“中国执行信息公开网”网站（http://zxgk.court.gov.cn/shixin/）中被列入失信被执行人名单；</w:t>
            </w:r>
          </w:p>
          <w:p>
            <w:pPr>
              <w:jc w:val="left"/>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（6）在“信用中国”网站（http://www.creditchina.gov.cn/）中被列为失信惩戒对象，且按联合惩戒要求禁止参与招投标的</w:t>
            </w:r>
            <w:r>
              <w:rPr>
                <w:rFonts w:hint="eastAsia" w:ascii="宋体" w:hAnsi="宋体" w:eastAsia="宋体" w:cs="宋体"/>
                <w:i w:val="0"/>
                <w:iCs w:val="0"/>
                <w:color w:val="auto"/>
                <w:sz w:val="21"/>
                <w:szCs w:val="21"/>
                <w:highlight w:val="none"/>
                <w:lang w:eastAsia="zh-CN"/>
              </w:rPr>
              <w:t>；</w:t>
            </w:r>
          </w:p>
          <w:p>
            <w:pPr>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7</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投标人或其法定代表人在近三年内有行贿犯罪行为的；</w:t>
            </w:r>
          </w:p>
          <w:p>
            <w:pPr>
              <w:pStyle w:val="9"/>
              <w:spacing w:after="0" w:line="360" w:lineRule="exact"/>
              <w:ind w:left="0" w:leftChars="0" w:firstLine="0" w:firstLineChars="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kern w:val="2"/>
                <w:sz w:val="21"/>
                <w:szCs w:val="21"/>
                <w:highlight w:val="none"/>
                <w:lang w:val="en-US" w:eastAsia="zh-CN" w:bidi="ar-SA"/>
              </w:rPr>
              <w:t>投标人在湖北省交通厅的信用等级近三年内被评为D级的；</w:t>
            </w:r>
          </w:p>
          <w:p>
            <w:pPr>
              <w:spacing w:line="400" w:lineRule="atLeast"/>
              <w:jc w:val="left"/>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val="en-US" w:eastAsia="zh-CN"/>
              </w:rPr>
              <w:t>9</w:t>
            </w:r>
            <w:r>
              <w:rPr>
                <w:rFonts w:hint="eastAsia" w:ascii="宋体" w:hAnsi="宋体" w:eastAsia="宋体" w:cs="宋体"/>
                <w:i w:val="0"/>
                <w:iCs w:val="0"/>
                <w:color w:val="auto"/>
                <w:sz w:val="21"/>
                <w:szCs w:val="21"/>
                <w:highlight w:val="none"/>
              </w:rPr>
              <w:t>）法律法规规定的其他情形。</w:t>
            </w:r>
          </w:p>
        </w:tc>
      </w:tr>
    </w:tbl>
    <w:p>
      <w:pPr>
        <w:widowControl/>
        <w:jc w:val="left"/>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rPr>
        <w:t>注：</w:t>
      </w:r>
      <w:r>
        <w:rPr>
          <w:rFonts w:hint="eastAsia" w:ascii="宋体" w:hAnsi="宋体" w:eastAsia="宋体" w:cs="宋体"/>
          <w:b/>
          <w:bCs/>
          <w:i w:val="0"/>
          <w:iCs w:val="0"/>
          <w:color w:val="auto"/>
          <w:kern w:val="0"/>
          <w:sz w:val="18"/>
          <w:szCs w:val="18"/>
          <w:highlight w:val="none"/>
          <w:u w:val="single"/>
        </w:rPr>
        <w:t>投标人应按招标文件第八章“投标文件格式”相应内容、表格及下注说明的要求在其投标文件中填写相关内容、表格并在相应位置提供要求的证书、证明材料</w:t>
      </w:r>
      <w:r>
        <w:rPr>
          <w:rFonts w:hint="eastAsia" w:ascii="宋体" w:hAnsi="宋体" w:eastAsia="宋体" w:cs="宋体"/>
          <w:i w:val="0"/>
          <w:iCs w:val="0"/>
          <w:color w:val="auto"/>
          <w:kern w:val="0"/>
          <w:sz w:val="18"/>
          <w:szCs w:val="18"/>
          <w:highlight w:val="none"/>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eastAsia="宋体" w:cs="宋体"/>
          <w:i w:val="0"/>
          <w:iCs w:val="0"/>
          <w:color w:val="auto"/>
          <w:kern w:val="0"/>
          <w:sz w:val="18"/>
          <w:szCs w:val="18"/>
          <w:highlight w:val="none"/>
        </w:rPr>
        <w:t>。</w:t>
      </w:r>
    </w:p>
    <w:p>
      <w:pPr>
        <w:widowControl/>
        <w:ind w:firstLine="420"/>
        <w:jc w:val="left"/>
        <w:rPr>
          <w:rFonts w:hint="eastAsia" w:ascii="宋体" w:hAnsi="宋体" w:eastAsia="宋体" w:cs="宋体"/>
          <w:i w:val="0"/>
          <w:iCs w:val="0"/>
          <w:color w:val="auto"/>
          <w:szCs w:val="21"/>
          <w:highlight w:val="none"/>
        </w:rPr>
      </w:pPr>
    </w:p>
    <w:p>
      <w:pPr>
        <w:pStyle w:val="9"/>
        <w:ind w:left="480" w:firstLine="480"/>
        <w:rPr>
          <w:rFonts w:hint="eastAsia" w:ascii="宋体" w:hAnsi="宋体" w:eastAsia="宋体" w:cs="宋体"/>
          <w:i w:val="0"/>
          <w:iCs w:val="0"/>
          <w:color w:val="auto"/>
          <w:highlight w:val="none"/>
        </w:rPr>
      </w:pPr>
    </w:p>
    <w:p>
      <w:pPr>
        <w:widowControl/>
        <w:ind w:firstLine="420"/>
        <w:jc w:val="left"/>
        <w:rPr>
          <w:rFonts w:hint="eastAsia" w:ascii="宋体" w:hAnsi="宋体" w:eastAsia="宋体" w:cs="宋体"/>
          <w:i w:val="0"/>
          <w:iCs w:val="0"/>
          <w:color w:val="auto"/>
          <w:szCs w:val="21"/>
          <w:highlight w:val="none"/>
        </w:rPr>
      </w:pPr>
    </w:p>
    <w:p>
      <w:pPr>
        <w:pStyle w:val="9"/>
        <w:ind w:left="480" w:firstLine="480"/>
        <w:rPr>
          <w:rFonts w:hint="eastAsia" w:ascii="宋体" w:hAnsi="宋体" w:eastAsia="宋体" w:cs="宋体"/>
          <w:i w:val="0"/>
          <w:iCs w:val="0"/>
          <w:color w:val="auto"/>
          <w:highlight w:val="none"/>
        </w:rPr>
      </w:pPr>
    </w:p>
    <w:p>
      <w:pPr>
        <w:pStyle w:val="9"/>
        <w:ind w:left="480" w:firstLine="480"/>
        <w:rPr>
          <w:rFonts w:hint="eastAsia" w:ascii="宋体" w:hAnsi="宋体" w:eastAsia="宋体" w:cs="宋体"/>
          <w:i w:val="0"/>
          <w:iCs w:val="0"/>
          <w:color w:val="auto"/>
          <w:highlight w:val="none"/>
        </w:rPr>
      </w:pPr>
    </w:p>
    <w:p>
      <w:pPr>
        <w:pStyle w:val="5"/>
        <w:rPr>
          <w:rFonts w:hint="eastAsia" w:ascii="宋体" w:hAnsi="宋体" w:eastAsia="宋体" w:cs="宋体"/>
          <w:i w:val="0"/>
          <w:iCs w:val="0"/>
          <w:color w:val="auto"/>
          <w:highlight w:val="none"/>
        </w:rPr>
        <w:sectPr>
          <w:footnotePr>
            <w:numFmt w:val="decimalEnclosedCircleChinese"/>
            <w:numRestart w:val="eachPage"/>
          </w:footnotePr>
          <w:pgSz w:w="11907" w:h="16840"/>
          <w:pgMar w:top="1417" w:right="1417" w:bottom="1417" w:left="1417" w:header="851" w:footer="850" w:gutter="0"/>
          <w:pgNumType w:fmt="decimal"/>
          <w:cols w:space="720" w:num="1"/>
          <w:docGrid w:linePitch="312" w:charSpace="0"/>
        </w:sectPr>
      </w:pPr>
      <w:bookmarkStart w:id="12" w:name="_Toc800"/>
      <w:bookmarkStart w:id="13" w:name="_Toc739"/>
      <w:bookmarkStart w:id="14" w:name="_Toc533720426"/>
    </w:p>
    <w:p>
      <w:pPr>
        <w:pStyle w:val="5"/>
        <w:rPr>
          <w:rFonts w:hint="eastAsia" w:ascii="宋体" w:hAnsi="宋体" w:eastAsia="宋体" w:cs="宋体"/>
          <w:i w:val="0"/>
          <w:iCs w:val="0"/>
          <w:color w:val="auto"/>
          <w:highlight w:val="none"/>
        </w:rPr>
      </w:pPr>
      <w:bookmarkStart w:id="15" w:name="_Toc24881"/>
      <w:bookmarkStart w:id="16" w:name="_Toc28597"/>
      <w:r>
        <w:rPr>
          <w:rFonts w:hint="eastAsia" w:ascii="宋体" w:hAnsi="宋体" w:eastAsia="宋体" w:cs="宋体"/>
          <w:i w:val="0"/>
          <w:iCs w:val="0"/>
          <w:color w:val="auto"/>
          <w:highlight w:val="none"/>
        </w:rPr>
        <w:t>附录</w:t>
      </w:r>
      <w:r>
        <w:rPr>
          <w:rFonts w:hint="eastAsia" w:ascii="宋体" w:hAnsi="宋体" w:eastAsia="宋体" w:cs="宋体"/>
          <w:i w:val="0"/>
          <w:iCs w:val="0"/>
          <w:color w:val="auto"/>
          <w:highlight w:val="none"/>
          <w:lang w:val="en-US" w:eastAsia="zh-CN"/>
        </w:rPr>
        <w:t>3</w:t>
      </w:r>
      <w:r>
        <w:rPr>
          <w:rFonts w:hint="eastAsia" w:ascii="宋体" w:hAnsi="宋体" w:eastAsia="宋体" w:cs="宋体"/>
          <w:i w:val="0"/>
          <w:iCs w:val="0"/>
          <w:color w:val="auto"/>
          <w:highlight w:val="none"/>
        </w:rPr>
        <w:t xml:space="preserve">  资格审查条件(财务最低要求)</w:t>
      </w:r>
      <w:bookmarkEnd w:id="1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标段号</w:t>
            </w:r>
          </w:p>
        </w:tc>
        <w:tc>
          <w:tcPr>
            <w:tcW w:w="7054" w:type="dxa"/>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所有标段</w:t>
            </w:r>
          </w:p>
        </w:tc>
        <w:tc>
          <w:tcPr>
            <w:tcW w:w="7054" w:type="dxa"/>
            <w:noWrap w:val="0"/>
            <w:vAlign w:val="center"/>
          </w:tcPr>
          <w:p>
            <w:pPr>
              <w:widowControl/>
              <w:spacing w:line="240" w:lineRule="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第一种方式</w:t>
            </w:r>
          </w:p>
          <w:p>
            <w:pPr>
              <w:widowControl/>
              <w:spacing w:line="240" w:lineRule="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2020年的营业收入不少于500万元。</w:t>
            </w:r>
          </w:p>
          <w:p>
            <w:pPr>
              <w:widowControl/>
              <w:spacing w:line="240" w:lineRule="auto"/>
              <w:rPr>
                <w:rFonts w:hint="eastAsia" w:ascii="宋体" w:hAnsi="宋体" w:eastAsia="宋体" w:cs="宋体"/>
                <w:i w:val="0"/>
                <w:iCs w:val="0"/>
                <w:color w:val="auto"/>
                <w:sz w:val="22"/>
                <w:szCs w:val="22"/>
                <w:highlight w:val="none"/>
              </w:rPr>
            </w:pPr>
          </w:p>
          <w:p>
            <w:pPr>
              <w:widowControl/>
              <w:spacing w:line="240" w:lineRule="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第二种方式</w:t>
            </w:r>
          </w:p>
          <w:p>
            <w:pPr>
              <w:pStyle w:val="2"/>
              <w:ind w:firstLine="0" w:firstLineChars="0"/>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由银行出具</w:t>
            </w:r>
            <w:r>
              <w:rPr>
                <w:rFonts w:hint="eastAsia" w:ascii="宋体" w:hAnsi="宋体" w:eastAsia="宋体" w:cs="宋体"/>
                <w:b/>
                <w:bCs/>
                <w:i w:val="0"/>
                <w:iCs w:val="0"/>
                <w:color w:val="auto"/>
                <w:sz w:val="24"/>
                <w:szCs w:val="24"/>
                <w:highlight w:val="none"/>
              </w:rPr>
              <w:t>（须有银行盖章）</w:t>
            </w:r>
            <w:r>
              <w:rPr>
                <w:rFonts w:hint="eastAsia" w:ascii="宋体" w:hAnsi="宋体" w:eastAsia="宋体" w:cs="宋体"/>
                <w:i w:val="0"/>
                <w:iCs w:val="0"/>
                <w:color w:val="auto"/>
                <w:sz w:val="22"/>
                <w:szCs w:val="22"/>
                <w:highlight w:val="none"/>
              </w:rPr>
              <w:t>申请日前3个月内（2021年</w:t>
            </w:r>
            <w:r>
              <w:rPr>
                <w:rFonts w:hint="eastAsia" w:ascii="宋体" w:hAnsi="宋体" w:eastAsia="宋体" w:cs="宋体"/>
                <w:i w:val="0"/>
                <w:iCs w:val="0"/>
                <w:color w:val="auto"/>
                <w:sz w:val="22"/>
                <w:szCs w:val="22"/>
                <w:highlight w:val="none"/>
                <w:lang w:val="en-US" w:eastAsia="zh-CN"/>
              </w:rPr>
              <w:t>10</w:t>
            </w:r>
            <w:r>
              <w:rPr>
                <w:rFonts w:hint="eastAsia" w:ascii="宋体" w:hAnsi="宋体" w:eastAsia="宋体" w:cs="宋体"/>
                <w:i w:val="0"/>
                <w:iCs w:val="0"/>
                <w:color w:val="auto"/>
                <w:sz w:val="22"/>
                <w:szCs w:val="22"/>
                <w:highlight w:val="none"/>
              </w:rPr>
              <w:t>月、2021年</w:t>
            </w:r>
            <w:r>
              <w:rPr>
                <w:rFonts w:hint="eastAsia" w:ascii="宋体" w:hAnsi="宋体" w:eastAsia="宋体" w:cs="宋体"/>
                <w:i w:val="0"/>
                <w:iCs w:val="0"/>
                <w:color w:val="auto"/>
                <w:sz w:val="22"/>
                <w:szCs w:val="22"/>
                <w:highlight w:val="none"/>
                <w:lang w:val="en-US" w:eastAsia="zh-CN"/>
              </w:rPr>
              <w:t>11</w:t>
            </w:r>
            <w:r>
              <w:rPr>
                <w:rFonts w:hint="eastAsia" w:ascii="宋体" w:hAnsi="宋体" w:eastAsia="宋体" w:cs="宋体"/>
                <w:i w:val="0"/>
                <w:iCs w:val="0"/>
                <w:color w:val="auto"/>
                <w:sz w:val="22"/>
                <w:szCs w:val="22"/>
                <w:highlight w:val="none"/>
              </w:rPr>
              <w:t>月、2021年</w:t>
            </w:r>
            <w:r>
              <w:rPr>
                <w:rFonts w:hint="eastAsia" w:ascii="宋体" w:hAnsi="宋体" w:eastAsia="宋体" w:cs="宋体"/>
                <w:i w:val="0"/>
                <w:iCs w:val="0"/>
                <w:color w:val="auto"/>
                <w:sz w:val="22"/>
                <w:szCs w:val="22"/>
                <w:highlight w:val="none"/>
                <w:lang w:val="en-US" w:eastAsia="zh-CN"/>
              </w:rPr>
              <w:t>12</w:t>
            </w:r>
            <w:r>
              <w:rPr>
                <w:rFonts w:hint="eastAsia" w:ascii="宋体" w:hAnsi="宋体" w:eastAsia="宋体" w:cs="宋体"/>
                <w:i w:val="0"/>
                <w:iCs w:val="0"/>
                <w:color w:val="auto"/>
                <w:sz w:val="22"/>
                <w:szCs w:val="22"/>
                <w:highlight w:val="none"/>
              </w:rPr>
              <w:t>月）的单位账户流水证明，每月</w:t>
            </w:r>
            <w:r>
              <w:rPr>
                <w:rFonts w:hint="eastAsia" w:ascii="宋体" w:hAnsi="宋体" w:eastAsia="宋体" w:cs="宋体"/>
                <w:b/>
                <w:bCs/>
                <w:i w:val="0"/>
                <w:iCs w:val="0"/>
                <w:color w:val="auto"/>
                <w:sz w:val="24"/>
                <w:szCs w:val="24"/>
                <w:highlight w:val="none"/>
              </w:rPr>
              <w:t>月末</w:t>
            </w:r>
            <w:r>
              <w:rPr>
                <w:rFonts w:hint="eastAsia" w:ascii="宋体" w:hAnsi="宋体" w:eastAsia="宋体" w:cs="宋体"/>
                <w:i w:val="0"/>
                <w:iCs w:val="0"/>
                <w:color w:val="auto"/>
                <w:sz w:val="22"/>
                <w:szCs w:val="22"/>
                <w:highlight w:val="none"/>
              </w:rPr>
              <w:t>账户余额的平均值不少于50万元。</w:t>
            </w:r>
          </w:p>
          <w:p>
            <w:pPr>
              <w:jc w:val="left"/>
              <w:rPr>
                <w:rFonts w:hint="eastAsia" w:ascii="宋体" w:hAnsi="宋体" w:eastAsia="宋体" w:cs="宋体"/>
                <w:i w:val="0"/>
                <w:iCs w:val="0"/>
                <w:color w:val="auto"/>
                <w:sz w:val="22"/>
                <w:szCs w:val="22"/>
                <w:highlight w:val="none"/>
              </w:rPr>
            </w:pPr>
            <w:r>
              <w:rPr>
                <w:rFonts w:hint="eastAsia" w:ascii="宋体" w:hAnsi="宋体" w:eastAsia="宋体" w:cs="宋体"/>
                <w:b/>
                <w:bCs/>
                <w:i w:val="0"/>
                <w:iCs w:val="0"/>
                <w:color w:val="auto"/>
                <w:kern w:val="2"/>
                <w:sz w:val="24"/>
                <w:szCs w:val="24"/>
                <w:highlight w:val="none"/>
                <w:lang w:val="en-US" w:eastAsia="zh-CN" w:bidi="ar-SA"/>
              </w:rPr>
              <w:t>上述两种方式满足其中一种即可，无银行公章的流水证明按无效投标处理。</w:t>
            </w:r>
          </w:p>
        </w:tc>
      </w:tr>
    </w:tbl>
    <w:p>
      <w:pPr>
        <w:pStyle w:val="6"/>
        <w:spacing w:after="0" w:line="400" w:lineRule="atLeast"/>
        <w:ind w:left="600" w:leftChars="100" w:hanging="360" w:hangingChars="200"/>
        <w:rPr>
          <w:rFonts w:hint="eastAsia" w:ascii="宋体" w:hAnsi="宋体" w:eastAsia="宋体" w:cs="宋体"/>
          <w:b w:val="0"/>
          <w:bCs w:val="0"/>
          <w:i w:val="0"/>
          <w:iCs w:val="0"/>
          <w:color w:val="auto"/>
          <w:sz w:val="18"/>
          <w:szCs w:val="18"/>
          <w:highlight w:val="none"/>
        </w:rPr>
      </w:pPr>
      <w:r>
        <w:rPr>
          <w:rFonts w:hint="eastAsia" w:ascii="宋体" w:hAnsi="宋体" w:eastAsia="宋体" w:cs="宋体"/>
          <w:b w:val="0"/>
          <w:bCs w:val="0"/>
          <w:i w:val="0"/>
          <w:iCs w:val="0"/>
          <w:color w:val="auto"/>
          <w:sz w:val="18"/>
          <w:szCs w:val="18"/>
          <w:highlight w:val="none"/>
        </w:rPr>
        <w:t>注：1.采用第一种方式应附经会计师事务所或审计机构审计的财务会计报表，包括资产负债表、现金流量表、利润表和财务情况说明书的复印件。</w:t>
      </w:r>
    </w:p>
    <w:p>
      <w:pPr>
        <w:pStyle w:val="6"/>
        <w:spacing w:after="0" w:line="400" w:lineRule="atLeast"/>
        <w:ind w:left="600" w:leftChars="100" w:hanging="360" w:hangingChars="200"/>
        <w:rPr>
          <w:rFonts w:hint="eastAsia" w:ascii="宋体" w:hAnsi="宋体" w:eastAsia="宋体" w:cs="宋体"/>
          <w:b w:val="0"/>
          <w:bCs w:val="0"/>
          <w:i w:val="0"/>
          <w:iCs w:val="0"/>
          <w:color w:val="auto"/>
          <w:sz w:val="18"/>
          <w:szCs w:val="18"/>
          <w:highlight w:val="none"/>
        </w:rPr>
        <w:sectPr>
          <w:footerReference r:id="rId7" w:type="default"/>
          <w:footnotePr>
            <w:numFmt w:val="decimalEnclosedCircleChinese"/>
            <w:numRestart w:val="eachPage"/>
          </w:footnotePr>
          <w:pgSz w:w="11907" w:h="16840"/>
          <w:pgMar w:top="1417" w:right="1417" w:bottom="1417" w:left="1417" w:header="851" w:footer="850" w:gutter="0"/>
          <w:pgNumType w:fmt="decimal"/>
          <w:cols w:space="720" w:num="1"/>
          <w:docGrid w:linePitch="312" w:charSpace="0"/>
        </w:sectPr>
      </w:pPr>
      <w:r>
        <w:rPr>
          <w:rFonts w:hint="eastAsia" w:ascii="宋体" w:hAnsi="宋体" w:eastAsia="宋体" w:cs="宋体"/>
          <w:b w:val="0"/>
          <w:bCs w:val="0"/>
          <w:i w:val="0"/>
          <w:iCs w:val="0"/>
          <w:color w:val="auto"/>
          <w:sz w:val="18"/>
          <w:szCs w:val="18"/>
          <w:highlight w:val="none"/>
        </w:rPr>
        <w:t xml:space="preserve">     2.采用第二种方式应附银行出具（须有银行盖章）申请日前3个月内的单位账户流水证明。</w:t>
      </w:r>
    </w:p>
    <w:p>
      <w:pPr>
        <w:pStyle w:val="5"/>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附录</w:t>
      </w:r>
      <w:r>
        <w:rPr>
          <w:rFonts w:hint="eastAsia" w:ascii="宋体" w:hAnsi="宋体" w:eastAsia="宋体" w:cs="宋体"/>
          <w:i w:val="0"/>
          <w:iCs w:val="0"/>
          <w:color w:val="auto"/>
          <w:highlight w:val="none"/>
          <w:lang w:val="en-US" w:eastAsia="zh-CN"/>
        </w:rPr>
        <w:t>4</w:t>
      </w:r>
      <w:r>
        <w:rPr>
          <w:rFonts w:hint="eastAsia" w:ascii="宋体" w:hAnsi="宋体" w:eastAsia="宋体" w:cs="宋体"/>
          <w:i w:val="0"/>
          <w:iCs w:val="0"/>
          <w:color w:val="auto"/>
          <w:highlight w:val="none"/>
        </w:rPr>
        <w:t xml:space="preserve">  资格审查条件(其他管理和技术人员最低要求)</w:t>
      </w:r>
      <w:bookmarkEnd w:id="12"/>
      <w:bookmarkEnd w:id="13"/>
      <w:bookmarkEnd w:id="16"/>
      <w:r>
        <w:rPr>
          <w:rFonts w:hint="eastAsia" w:ascii="宋体" w:hAnsi="宋体" w:eastAsia="宋体" w:cs="宋体"/>
          <w:i w:val="0"/>
          <w:iCs w:val="0"/>
          <w:color w:val="auto"/>
          <w:highlight w:val="none"/>
        </w:rPr>
        <w:t xml:space="preserve"> </w:t>
      </w:r>
      <w:bookmarkEnd w:id="1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3397"/>
        <w:gridCol w:w="1044"/>
        <w:gridCol w:w="1044"/>
        <w:gridCol w:w="1044"/>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43"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i w:val="0"/>
                <w:iCs w:val="0"/>
                <w:color w:val="auto"/>
              </w:rPr>
            </w:pPr>
            <w:r>
              <w:rPr>
                <w:i w:val="0"/>
                <w:iCs w:val="0"/>
                <w:color w:val="auto"/>
              </w:rPr>
              <w:t>人  员</w:t>
            </w:r>
          </w:p>
        </w:tc>
        <w:tc>
          <w:tcPr>
            <w:tcW w:w="3397"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atLeast"/>
              <w:jc w:val="center"/>
              <w:rPr>
                <w:i w:val="0"/>
                <w:iCs w:val="0"/>
                <w:color w:val="auto"/>
              </w:rPr>
            </w:pPr>
            <w:r>
              <w:rPr>
                <w:i w:val="0"/>
                <w:iCs w:val="0"/>
                <w:color w:val="auto"/>
              </w:rPr>
              <w:t>资 格 要 求</w:t>
            </w:r>
          </w:p>
        </w:tc>
        <w:tc>
          <w:tcPr>
            <w:tcW w:w="417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i w:val="0"/>
                <w:iCs w:val="0"/>
                <w:color w:val="auto"/>
              </w:rPr>
            </w:pPr>
            <w:r>
              <w:rPr>
                <w:rFonts w:hint="eastAsia"/>
                <w:i w:val="0"/>
                <w:iCs w:val="0"/>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44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i w:val="0"/>
                <w:iCs w:val="0"/>
                <w:color w:val="auto"/>
              </w:rPr>
            </w:pPr>
          </w:p>
        </w:tc>
        <w:tc>
          <w:tcPr>
            <w:tcW w:w="3397"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i w:val="0"/>
                <w:iCs w:val="0"/>
                <w:color w:val="auto"/>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i w:val="0"/>
                <w:iCs w:val="0"/>
                <w:color w:val="auto"/>
              </w:rPr>
            </w:pPr>
            <w:r>
              <w:rPr>
                <w:rFonts w:hint="eastAsia"/>
                <w:i w:val="0"/>
                <w:iCs w:val="0"/>
                <w:color w:val="auto"/>
              </w:rPr>
              <w:t>1标段</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i w:val="0"/>
                <w:iCs w:val="0"/>
                <w:color w:val="auto"/>
              </w:rPr>
            </w:pPr>
            <w:r>
              <w:rPr>
                <w:rFonts w:hint="eastAsia"/>
                <w:i w:val="0"/>
                <w:iCs w:val="0"/>
                <w:color w:val="auto"/>
              </w:rPr>
              <w:t>2标段</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i w:val="0"/>
                <w:iCs w:val="0"/>
                <w:color w:val="auto"/>
                <w:kern w:val="2"/>
                <w:sz w:val="24"/>
                <w:szCs w:val="24"/>
                <w:lang w:val="en-US" w:eastAsia="zh-CN" w:bidi="ar-SA"/>
              </w:rPr>
            </w:pPr>
            <w:r>
              <w:rPr>
                <w:rFonts w:hint="eastAsia"/>
                <w:i w:val="0"/>
                <w:iCs w:val="0"/>
                <w:color w:val="auto"/>
                <w:lang w:val="en-US" w:eastAsia="zh-CN"/>
              </w:rPr>
              <w:t>3</w:t>
            </w:r>
            <w:r>
              <w:rPr>
                <w:rFonts w:hint="eastAsia"/>
                <w:i w:val="0"/>
                <w:iCs w:val="0"/>
                <w:color w:val="auto"/>
              </w:rPr>
              <w:t>标段</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i w:val="0"/>
                <w:iCs w:val="0"/>
                <w:color w:val="auto"/>
                <w:kern w:val="2"/>
                <w:sz w:val="24"/>
                <w:szCs w:val="24"/>
                <w:lang w:val="en-US" w:eastAsia="zh-CN" w:bidi="ar-SA"/>
              </w:rPr>
            </w:pPr>
            <w:r>
              <w:rPr>
                <w:rFonts w:hint="eastAsia"/>
                <w:i w:val="0"/>
                <w:iCs w:val="0"/>
                <w:color w:val="auto"/>
                <w:lang w:val="en-US" w:eastAsia="zh-CN"/>
              </w:rPr>
              <w:t>4</w:t>
            </w:r>
            <w:r>
              <w:rPr>
                <w:rFonts w:hint="eastAsia"/>
                <w:i w:val="0"/>
                <w:iCs w:val="0"/>
                <w:color w:val="auto"/>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项目负责人</w:t>
            </w:r>
          </w:p>
        </w:tc>
        <w:tc>
          <w:tcPr>
            <w:tcW w:w="3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具有</w:t>
            </w:r>
            <w:r>
              <w:rPr>
                <w:rFonts w:hint="eastAsia" w:ascii="宋体" w:hAnsi="宋体" w:eastAsia="宋体" w:cs="宋体"/>
                <w:i w:val="0"/>
                <w:iCs w:val="0"/>
                <w:color w:val="auto"/>
                <w:sz w:val="21"/>
                <w:szCs w:val="21"/>
                <w:highlight w:val="none"/>
              </w:rPr>
              <w:t>中级</w:t>
            </w:r>
            <w:r>
              <w:rPr>
                <w:rFonts w:hint="eastAsia" w:ascii="宋体" w:hAnsi="宋体" w:eastAsia="宋体" w:cs="宋体"/>
                <w:i w:val="0"/>
                <w:iCs w:val="0"/>
                <w:color w:val="auto"/>
                <w:sz w:val="21"/>
                <w:szCs w:val="21"/>
                <w:highlight w:val="none"/>
                <w:lang w:eastAsia="zh-CN"/>
              </w:rPr>
              <w:t>及以上</w:t>
            </w:r>
            <w:r>
              <w:rPr>
                <w:rFonts w:hint="eastAsia" w:ascii="宋体" w:hAnsi="宋体" w:eastAsia="宋体" w:cs="宋体"/>
                <w:i w:val="0"/>
                <w:iCs w:val="0"/>
                <w:color w:val="auto"/>
                <w:kern w:val="1"/>
                <w:sz w:val="21"/>
                <w:szCs w:val="21"/>
                <w:highlight w:val="none"/>
              </w:rPr>
              <w:t>技术职称</w:t>
            </w:r>
            <w:r>
              <w:rPr>
                <w:rFonts w:hint="eastAsia" w:ascii="宋体" w:hAnsi="宋体" w:eastAsia="宋体" w:cs="宋体"/>
                <w:i w:val="0"/>
                <w:iCs w:val="0"/>
                <w:color w:val="auto"/>
                <w:sz w:val="21"/>
                <w:szCs w:val="21"/>
                <w:highlight w:val="none"/>
              </w:rPr>
              <w:t>，高速公路施工从业年限不低于6年，</w:t>
            </w:r>
            <w:r>
              <w:rPr>
                <w:rFonts w:hint="eastAsia" w:ascii="宋体" w:hAnsi="宋体" w:eastAsia="宋体" w:cs="宋体"/>
                <w:i w:val="0"/>
                <w:iCs w:val="0"/>
                <w:color w:val="auto"/>
                <w:kern w:val="1"/>
                <w:sz w:val="21"/>
                <w:szCs w:val="21"/>
                <w:highlight w:val="none"/>
              </w:rPr>
              <w:t>年龄为</w:t>
            </w:r>
            <w:r>
              <w:rPr>
                <w:rFonts w:hint="eastAsia" w:ascii="宋体" w:hAnsi="宋体" w:eastAsia="宋体" w:cs="宋体"/>
                <w:i w:val="0"/>
                <w:iCs w:val="0"/>
                <w:color w:val="auto"/>
                <w:sz w:val="21"/>
                <w:szCs w:val="21"/>
                <w:highlight w:val="none"/>
              </w:rPr>
              <w:t>55岁以下。</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1人</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质检员</w:t>
            </w:r>
          </w:p>
        </w:tc>
        <w:tc>
          <w:tcPr>
            <w:tcW w:w="3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能做好质量自检工作，在施工过程中跟踪控制施工质量，并配合项经部的质量检查工作</w:t>
            </w:r>
            <w:r>
              <w:rPr>
                <w:rFonts w:hint="eastAsia" w:ascii="宋体" w:hAnsi="宋体" w:eastAsia="宋体" w:cs="宋体"/>
                <w:i w:val="0"/>
                <w:iCs w:val="0"/>
                <w:color w:val="auto"/>
                <w:sz w:val="21"/>
                <w:szCs w:val="21"/>
                <w:highlight w:val="none"/>
                <w:lang w:eastAsia="zh-CN"/>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2人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2人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r>
              <w:rPr>
                <w:rFonts w:hint="eastAsia" w:ascii="宋体" w:hAnsi="宋体" w:eastAsia="宋体" w:cs="宋体"/>
                <w:i w:val="0"/>
                <w:iCs w:val="0"/>
                <w:color w:val="auto"/>
                <w:sz w:val="21"/>
                <w:szCs w:val="21"/>
              </w:rPr>
              <w:t>人</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技术员</w:t>
            </w:r>
          </w:p>
        </w:tc>
        <w:tc>
          <w:tcPr>
            <w:tcW w:w="3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负责对其施工人员进行相关内部的技术培训，提升施工人员技能水平，对实施的对较大工程的现场实时监督；了解公路养护造价相关知识，配合收集提交项经部需要的相关技术及价格资料。</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1人</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工班长</w:t>
            </w:r>
          </w:p>
        </w:tc>
        <w:tc>
          <w:tcPr>
            <w:tcW w:w="3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能做好质日常保洁、绿化现场管理工作，并配合项经部的质量检查工作</w:t>
            </w:r>
            <w:r>
              <w:rPr>
                <w:rFonts w:hint="eastAsia" w:ascii="宋体" w:hAnsi="宋体" w:eastAsia="宋体" w:cs="宋体"/>
                <w:i w:val="0"/>
                <w:iCs w:val="0"/>
                <w:color w:val="auto"/>
                <w:sz w:val="21"/>
                <w:szCs w:val="21"/>
                <w:highlight w:val="none"/>
                <w:lang w:eastAsia="zh-CN"/>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资料员</w:t>
            </w:r>
          </w:p>
        </w:tc>
        <w:tc>
          <w:tcPr>
            <w:tcW w:w="3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能负责其内业资料整理和统计工作，配合项经部完成工程量的统计等工作</w:t>
            </w:r>
            <w:r>
              <w:rPr>
                <w:rFonts w:hint="eastAsia" w:ascii="宋体" w:hAnsi="宋体" w:eastAsia="宋体" w:cs="宋体"/>
                <w:i w:val="0"/>
                <w:iCs w:val="0"/>
                <w:color w:val="auto"/>
                <w:sz w:val="21"/>
                <w:szCs w:val="21"/>
                <w:highlight w:val="none"/>
                <w:lang w:eastAsia="zh-CN"/>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r>
              <w:rPr>
                <w:rFonts w:hint="eastAsia" w:ascii="宋体" w:hAnsi="宋体" w:eastAsia="宋体" w:cs="宋体"/>
                <w:i w:val="0"/>
                <w:iCs w:val="0"/>
                <w:color w:val="auto"/>
                <w:sz w:val="21"/>
                <w:szCs w:val="21"/>
              </w:rPr>
              <w:t>人</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专职安全员</w:t>
            </w:r>
          </w:p>
        </w:tc>
        <w:tc>
          <w:tcPr>
            <w:tcW w:w="3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rPr>
              <w:t>持有有效的</w:t>
            </w:r>
            <w:r>
              <w:rPr>
                <w:rFonts w:hint="eastAsia" w:ascii="宋体" w:hAnsi="宋体" w:eastAsia="宋体" w:cs="宋体"/>
                <w:b/>
                <w:bCs/>
                <w:i w:val="0"/>
                <w:iCs w:val="0"/>
                <w:color w:val="auto"/>
                <w:kern w:val="1"/>
                <w:sz w:val="21"/>
                <w:szCs w:val="21"/>
                <w:highlight w:val="none"/>
              </w:rPr>
              <w:t>交通运输主管部门颁发的安全生产考核合格证书（C证）</w:t>
            </w:r>
            <w:r>
              <w:rPr>
                <w:rFonts w:hint="eastAsia" w:ascii="宋体" w:hAnsi="宋体" w:eastAsia="宋体" w:cs="宋体"/>
                <w:i w:val="0"/>
                <w:iCs w:val="0"/>
                <w:color w:val="auto"/>
                <w:sz w:val="21"/>
                <w:szCs w:val="21"/>
                <w:highlight w:val="none"/>
              </w:rPr>
              <w:t>，并配合招标人项目部进行安全管理工作</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人</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2人</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作业队</w:t>
            </w:r>
          </w:p>
        </w:tc>
        <w:tc>
          <w:tcPr>
            <w:tcW w:w="33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5个班组</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每个班组10人</w:t>
            </w:r>
            <w:r>
              <w:rPr>
                <w:rFonts w:hint="eastAsia" w:ascii="宋体" w:hAnsi="宋体" w:eastAsia="宋体" w:cs="宋体"/>
                <w:i w:val="0"/>
                <w:iCs w:val="0"/>
                <w:color w:val="auto"/>
                <w:sz w:val="21"/>
                <w:szCs w:val="21"/>
                <w:lang w:eastAsia="zh-CN"/>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5个班组</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每个班组10人</w:t>
            </w:r>
            <w:r>
              <w:rPr>
                <w:rFonts w:hint="eastAsia" w:ascii="宋体" w:hAnsi="宋体" w:eastAsia="宋体" w:cs="宋体"/>
                <w:i w:val="0"/>
                <w:iCs w:val="0"/>
                <w:color w:val="auto"/>
                <w:sz w:val="21"/>
                <w:szCs w:val="21"/>
                <w:lang w:eastAsia="zh-CN"/>
              </w:rPr>
              <w:t>）</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5个班组</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每个班组</w:t>
            </w:r>
            <w:r>
              <w:rPr>
                <w:rFonts w:hint="eastAsia" w:ascii="宋体" w:hAnsi="宋体" w:eastAsia="宋体" w:cs="宋体"/>
                <w:i w:val="0"/>
                <w:iCs w:val="0"/>
                <w:color w:val="auto"/>
                <w:sz w:val="21"/>
                <w:szCs w:val="21"/>
                <w:lang w:val="en-US" w:eastAsia="zh-CN"/>
              </w:rPr>
              <w:t>8</w:t>
            </w:r>
            <w:r>
              <w:rPr>
                <w:rFonts w:hint="eastAsia" w:ascii="宋体" w:hAnsi="宋体" w:eastAsia="宋体" w:cs="宋体"/>
                <w:i w:val="0"/>
                <w:iCs w:val="0"/>
                <w:color w:val="auto"/>
                <w:sz w:val="21"/>
                <w:szCs w:val="21"/>
              </w:rPr>
              <w:t>人</w:t>
            </w:r>
            <w:r>
              <w:rPr>
                <w:rFonts w:hint="eastAsia" w:ascii="宋体" w:hAnsi="宋体" w:eastAsia="宋体" w:cs="宋体"/>
                <w:i w:val="0"/>
                <w:iCs w:val="0"/>
                <w:color w:val="auto"/>
                <w:sz w:val="21"/>
                <w:szCs w:val="21"/>
                <w:lang w:eastAsia="zh-CN"/>
              </w:rPr>
              <w:t>）</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4个班组</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每个班组10人</w:t>
            </w:r>
            <w:r>
              <w:rPr>
                <w:rFonts w:hint="eastAsia" w:ascii="宋体" w:hAnsi="宋体" w:eastAsia="宋体" w:cs="宋体"/>
                <w:i w:val="0"/>
                <w:iCs w:val="0"/>
                <w:color w:val="auto"/>
                <w:sz w:val="21"/>
                <w:szCs w:val="21"/>
                <w:lang w:eastAsia="zh-CN"/>
              </w:rPr>
              <w:t>）</w:t>
            </w:r>
          </w:p>
        </w:tc>
      </w:tr>
    </w:tbl>
    <w:p>
      <w:pPr>
        <w:widowControl/>
        <w:spacing w:line="360" w:lineRule="exact"/>
        <w:jc w:val="left"/>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rPr>
        <w:t>注：</w:t>
      </w:r>
      <w:r>
        <w:rPr>
          <w:rFonts w:hint="eastAsia" w:ascii="宋体" w:hAnsi="宋体" w:eastAsia="宋体" w:cs="宋体"/>
          <w:i w:val="0"/>
          <w:iCs w:val="0"/>
          <w:color w:val="auto"/>
          <w:kern w:val="0"/>
          <w:sz w:val="18"/>
          <w:szCs w:val="18"/>
          <w:highlight w:val="none"/>
          <w:u w:val="single"/>
        </w:rPr>
        <w:t>施工班组和人员配备为正常施工配置，如有工程进度要求，各施工队必须无条件的增加施工人员和机具配置；投标人应按招标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hint="eastAsia" w:ascii="宋体" w:hAnsi="宋体" w:eastAsia="宋体" w:cs="宋体"/>
          <w:i w:val="0"/>
          <w:iCs w:val="0"/>
          <w:color w:val="auto"/>
          <w:sz w:val="18"/>
          <w:szCs w:val="18"/>
          <w:highlight w:val="none"/>
        </w:rPr>
        <w:t>。</w:t>
      </w:r>
    </w:p>
    <w:p>
      <w:pPr>
        <w:pStyle w:val="6"/>
        <w:keepNext w:val="0"/>
        <w:keepLines w:val="0"/>
        <w:pageBreakBefore w:val="0"/>
        <w:widowControl w:val="0"/>
        <w:kinsoku/>
        <w:wordWrap/>
        <w:overflowPunct/>
        <w:topLinePunct w:val="0"/>
        <w:autoSpaceDE/>
        <w:autoSpaceDN/>
        <w:bidi w:val="0"/>
        <w:adjustRightInd/>
        <w:snapToGrid/>
        <w:spacing w:after="0" w:line="400" w:lineRule="atLeast"/>
        <w:ind w:left="0" w:leftChars="0" w:firstLine="0" w:firstLineChars="0"/>
        <w:textAlignment w:val="auto"/>
        <w:outlineLvl w:val="2"/>
        <w:rPr>
          <w:rFonts w:hint="eastAsia" w:ascii="宋体" w:hAnsi="宋体" w:eastAsia="宋体" w:cs="宋体"/>
          <w:i w:val="0"/>
          <w:iCs w:val="0"/>
          <w:color w:val="auto"/>
          <w:highlight w:val="none"/>
        </w:rPr>
      </w:pPr>
      <w:r>
        <w:rPr>
          <w:rFonts w:hint="eastAsia" w:ascii="宋体" w:hAnsi="宋体" w:eastAsia="宋体" w:cs="宋体"/>
          <w:i w:val="0"/>
          <w:iCs w:val="0"/>
          <w:color w:val="auto"/>
          <w:sz w:val="18"/>
          <w:szCs w:val="18"/>
          <w:highlight w:val="none"/>
        </w:rPr>
        <w:br w:type="page"/>
      </w:r>
      <w:bookmarkStart w:id="17" w:name="_Toc1804"/>
      <w:bookmarkStart w:id="18" w:name="_Toc533720427"/>
      <w:bookmarkStart w:id="19" w:name="_Toc3916"/>
      <w:bookmarkStart w:id="20" w:name="_Toc5842"/>
      <w:r>
        <w:rPr>
          <w:rFonts w:hint="eastAsia" w:ascii="宋体" w:hAnsi="宋体" w:eastAsia="宋体" w:cs="宋体"/>
          <w:bCs/>
          <w:i w:val="0"/>
          <w:iCs w:val="0"/>
          <w:color w:val="auto"/>
          <w:kern w:val="0"/>
          <w:sz w:val="24"/>
          <w:szCs w:val="20"/>
          <w:highlight w:val="none"/>
          <w:lang w:val="en-US" w:eastAsia="zh-CN" w:bidi="ar-SA"/>
        </w:rPr>
        <w:t>附录5  资格审查条件(主要机械设备和试验检测设备最低要求)</w:t>
      </w:r>
      <w:bookmarkEnd w:id="17"/>
      <w:bookmarkEnd w:id="18"/>
      <w:bookmarkEnd w:id="19"/>
      <w:bookmarkEnd w:id="20"/>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eastAsia="黑体"/>
          <w:i w:val="0"/>
          <w:iCs w:val="0"/>
          <w:color w:val="auto"/>
          <w:lang w:val="en-US" w:eastAsia="zh-CN" w:bidi="ar"/>
        </w:rPr>
      </w:pPr>
      <w:r>
        <w:rPr>
          <w:rFonts w:hint="eastAsia"/>
          <w:i w:val="0"/>
          <w:iCs w:val="0"/>
          <w:color w:val="auto"/>
          <w:lang w:val="en-US" w:eastAsia="zh-CN" w:bidi="ar"/>
        </w:rPr>
        <w:t>1标段</w:t>
      </w:r>
    </w:p>
    <w:tbl>
      <w:tblPr>
        <w:tblStyle w:val="10"/>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40"/>
        <w:gridCol w:w="1050"/>
        <w:gridCol w:w="1050"/>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adjustRightInd w:val="0"/>
              <w:snapToGrid w:val="0"/>
              <w:spacing w:line="400" w:lineRule="atLeast"/>
              <w:jc w:val="center"/>
              <w:rPr>
                <w:rFonts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序号</w:t>
            </w:r>
          </w:p>
        </w:tc>
        <w:tc>
          <w:tcPr>
            <w:tcW w:w="3840" w:type="dxa"/>
            <w:noWrap w:val="0"/>
            <w:vAlign w:val="center"/>
          </w:tcPr>
          <w:p>
            <w:pPr>
              <w:adjustRightInd w:val="0"/>
              <w:snapToGrid w:val="0"/>
              <w:spacing w:line="400" w:lineRule="atLeast"/>
              <w:jc w:val="center"/>
              <w:rPr>
                <w:rFonts w:ascii="Calibri" w:hAnsi="Calibri" w:eastAsia="宋体" w:cs="Times New Roman"/>
                <w:i w:val="0"/>
                <w:iCs w:val="0"/>
                <w:color w:val="auto"/>
                <w:sz w:val="22"/>
                <w:szCs w:val="22"/>
              </w:rPr>
            </w:pPr>
            <w:r>
              <w:rPr>
                <w:rFonts w:ascii="Calibri" w:hAnsi="Calibri" w:eastAsia="宋体" w:cs="Times New Roman"/>
                <w:i w:val="0"/>
                <w:iCs w:val="0"/>
                <w:color w:val="auto"/>
                <w:sz w:val="22"/>
                <w:szCs w:val="22"/>
              </w:rPr>
              <w:t>设备名称</w:t>
            </w:r>
          </w:p>
        </w:tc>
        <w:tc>
          <w:tcPr>
            <w:tcW w:w="1050" w:type="dxa"/>
            <w:noWrap w:val="0"/>
            <w:vAlign w:val="center"/>
          </w:tcPr>
          <w:p>
            <w:pPr>
              <w:adjustRightInd w:val="0"/>
              <w:snapToGrid w:val="0"/>
              <w:spacing w:line="400" w:lineRule="atLeast"/>
              <w:jc w:val="center"/>
              <w:rPr>
                <w:rFonts w:ascii="Calibri" w:hAnsi="Calibri" w:eastAsia="宋体" w:cs="Times New Roman"/>
                <w:i w:val="0"/>
                <w:iCs w:val="0"/>
                <w:color w:val="auto"/>
                <w:sz w:val="22"/>
                <w:szCs w:val="22"/>
              </w:rPr>
            </w:pPr>
            <w:r>
              <w:rPr>
                <w:rFonts w:ascii="Calibri" w:hAnsi="Calibri" w:eastAsia="宋体" w:cs="Times New Roman"/>
                <w:i w:val="0"/>
                <w:iCs w:val="0"/>
                <w:color w:val="auto"/>
                <w:sz w:val="22"/>
                <w:szCs w:val="22"/>
              </w:rPr>
              <w:t>单位</w:t>
            </w:r>
          </w:p>
        </w:tc>
        <w:tc>
          <w:tcPr>
            <w:tcW w:w="1050" w:type="dxa"/>
            <w:noWrap w:val="0"/>
            <w:vAlign w:val="center"/>
          </w:tcPr>
          <w:p>
            <w:pPr>
              <w:adjustRightInd w:val="0"/>
              <w:snapToGrid w:val="0"/>
              <w:spacing w:line="400" w:lineRule="atLeast"/>
              <w:jc w:val="center"/>
              <w:rPr>
                <w:rFonts w:ascii="Calibri" w:hAnsi="Calibri" w:eastAsia="宋体" w:cs="Times New Roman"/>
                <w:i w:val="0"/>
                <w:iCs w:val="0"/>
                <w:color w:val="auto"/>
                <w:sz w:val="22"/>
                <w:szCs w:val="22"/>
              </w:rPr>
            </w:pPr>
            <w:r>
              <w:rPr>
                <w:rFonts w:ascii="Calibri" w:hAnsi="Calibri" w:eastAsia="宋体" w:cs="Times New Roman"/>
                <w:i w:val="0"/>
                <w:iCs w:val="0"/>
                <w:color w:val="auto"/>
                <w:sz w:val="22"/>
                <w:szCs w:val="22"/>
              </w:rPr>
              <w:t>数量</w:t>
            </w:r>
          </w:p>
        </w:tc>
        <w:tc>
          <w:tcPr>
            <w:tcW w:w="2518" w:type="dxa"/>
            <w:noWrap w:val="0"/>
            <w:vAlign w:val="center"/>
          </w:tcPr>
          <w:p>
            <w:pPr>
              <w:adjustRightInd w:val="0"/>
              <w:snapToGrid w:val="0"/>
              <w:spacing w:line="400" w:lineRule="atLeast"/>
              <w:jc w:val="center"/>
              <w:rPr>
                <w:rFonts w:ascii="Calibri" w:hAnsi="Calibri" w:eastAsia="宋体" w:cs="Times New Roman"/>
                <w:i w:val="0"/>
                <w:iCs w:val="0"/>
                <w:color w:val="auto"/>
                <w:sz w:val="22"/>
                <w:szCs w:val="22"/>
              </w:rPr>
            </w:pPr>
            <w:r>
              <w:rPr>
                <w:rFonts w:ascii="Calibri" w:hAnsi="Calibri" w:eastAsia="宋体" w:cs="Times New Roman"/>
                <w:i w:val="0"/>
                <w:iCs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空压机（带2个风镐）</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装载机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液压破碎机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4</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压浆设备</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5</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路面切割机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手扶震动压路机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7</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开槽、清灌缝机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8</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移动标致车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9</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多功能养护机械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≧26KW</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可换装挖掘、装载、破碎等养护作业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10</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随车吊</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11</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移动式现场照明设施</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照明范围≧200m,夜间抢险及施工，按需配置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12</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发电照明设备</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13</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移动发电机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14</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多功能自动除雪撒布车（带滚刷、铲子撒盐机具）</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12T（8成新）以上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15</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除冰车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16</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重型除雪铲</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铲面长度大于3米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17</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登高车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18</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公路巡逻车(皮卡）</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3-6 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19</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轻型货车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1-4.5t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20</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吹扫车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吹扫宽度 2-3m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21</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割灌除草修剪机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4</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30cm2/s,≥1.8kw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22</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护栏清洗车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23</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水车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24</w:t>
            </w:r>
          </w:p>
        </w:tc>
        <w:tc>
          <w:tcPr>
            <w:tcW w:w="38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剪枝机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bl>
    <w:p>
      <w:pPr>
        <w:widowControl/>
        <w:jc w:val="left"/>
        <w:rPr>
          <w:rFonts w:hint="eastAsia" w:ascii="宋体" w:hAnsi="宋体" w:eastAsia="宋体" w:cs="宋体"/>
          <w:i w:val="0"/>
          <w:iCs w:val="0"/>
          <w:color w:val="auto"/>
          <w:sz w:val="18"/>
          <w:szCs w:val="18"/>
          <w:highlight w:val="none"/>
          <w:u w:val="single"/>
        </w:rPr>
      </w:pPr>
      <w:r>
        <w:rPr>
          <w:rFonts w:hint="eastAsia" w:ascii="宋体" w:hAnsi="宋体" w:eastAsia="宋体" w:cs="宋体"/>
          <w:i w:val="0"/>
          <w:iCs w:val="0"/>
          <w:color w:val="auto"/>
          <w:sz w:val="18"/>
          <w:szCs w:val="18"/>
          <w:highlight w:val="none"/>
        </w:rPr>
        <w:t>注：</w:t>
      </w:r>
      <w:r>
        <w:rPr>
          <w:rFonts w:hint="eastAsia" w:ascii="宋体" w:hAnsi="宋体" w:eastAsia="宋体" w:cs="宋体"/>
          <w:i w:val="0"/>
          <w:iCs w:val="0"/>
          <w:color w:val="auto"/>
          <w:kern w:val="0"/>
          <w:sz w:val="18"/>
          <w:szCs w:val="18"/>
          <w:highlight w:val="none"/>
          <w:u w:val="single"/>
          <w:lang w:bidi="ar"/>
        </w:rPr>
        <w:t>投标人应按招标文件第八章“投标文件格式”相应内容、表格及下注说明的要求在其投标文件中填写相关内容、表格。如未按要求填写的，评标委员会在对其投标进行评审时将不予通过</w:t>
      </w:r>
      <w:r>
        <w:rPr>
          <w:rFonts w:hint="eastAsia" w:ascii="宋体" w:hAnsi="宋体" w:eastAsia="宋体" w:cs="宋体"/>
          <w:i w:val="0"/>
          <w:iCs w:val="0"/>
          <w:color w:val="auto"/>
          <w:sz w:val="18"/>
          <w:szCs w:val="18"/>
          <w:highlight w:val="none"/>
        </w:rPr>
        <w:t>。</w:t>
      </w:r>
    </w:p>
    <w:p>
      <w:pPr>
        <w:pStyle w:val="5"/>
        <w:rPr>
          <w:i w:val="0"/>
          <w:iCs w:val="0"/>
          <w:color w:val="auto"/>
          <w:lang w:bidi="ar"/>
        </w:rPr>
        <w:sectPr>
          <w:footnotePr>
            <w:numFmt w:val="decimalEnclosedCircleChinese"/>
            <w:numRestart w:val="eachPage"/>
          </w:footnotePr>
          <w:pgSz w:w="11907" w:h="16840"/>
          <w:pgMar w:top="1417" w:right="1417" w:bottom="1417" w:left="1417" w:header="851" w:footer="850" w:gutter="0"/>
          <w:pgNumType w:fmt="decimal"/>
          <w:cols w:space="720" w:num="1"/>
          <w:docGrid w:linePitch="312" w:charSpace="0"/>
        </w:sect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Calibri" w:hAnsi="Calibri" w:eastAsia="宋体" w:cs="Times New Roman"/>
          <w:i w:val="0"/>
          <w:iCs w:val="0"/>
          <w:color w:val="auto"/>
          <w:lang w:val="en-US" w:eastAsia="zh-CN" w:bidi="ar"/>
        </w:rPr>
      </w:pPr>
      <w:r>
        <w:rPr>
          <w:rFonts w:hint="eastAsia" w:ascii="Calibri" w:hAnsi="Calibri" w:eastAsia="宋体" w:cs="Times New Roman"/>
          <w:i w:val="0"/>
          <w:iCs w:val="0"/>
          <w:color w:val="auto"/>
          <w:lang w:val="en-US" w:eastAsia="zh-CN" w:bidi="ar"/>
        </w:rPr>
        <w:t>2标段</w:t>
      </w:r>
    </w:p>
    <w:tbl>
      <w:tblPr>
        <w:tblStyle w:val="10"/>
        <w:tblpPr w:leftFromText="180" w:rightFromText="180" w:vertAnchor="text" w:horzAnchor="page" w:tblpX="1430" w:tblpY="66"/>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830"/>
        <w:gridCol w:w="1050"/>
        <w:gridCol w:w="105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670" w:type="dxa"/>
            <w:noWrap w:val="0"/>
            <w:vAlign w:val="center"/>
          </w:tcPr>
          <w:p>
            <w:pPr>
              <w:adjustRightInd w:val="0"/>
              <w:snapToGrid w:val="0"/>
              <w:spacing w:line="400" w:lineRule="atLeast"/>
              <w:jc w:val="center"/>
              <w:rPr>
                <w:rFonts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序号</w:t>
            </w:r>
          </w:p>
        </w:tc>
        <w:tc>
          <w:tcPr>
            <w:tcW w:w="3830" w:type="dxa"/>
            <w:noWrap w:val="0"/>
            <w:vAlign w:val="center"/>
          </w:tcPr>
          <w:p>
            <w:pPr>
              <w:adjustRightInd w:val="0"/>
              <w:snapToGrid w:val="0"/>
              <w:spacing w:line="400" w:lineRule="atLeast"/>
              <w:jc w:val="center"/>
              <w:rPr>
                <w:rFonts w:ascii="Calibri" w:hAnsi="Calibri" w:eastAsia="宋体" w:cs="Times New Roman"/>
                <w:i w:val="0"/>
                <w:iCs w:val="0"/>
                <w:color w:val="auto"/>
                <w:sz w:val="22"/>
                <w:szCs w:val="22"/>
              </w:rPr>
            </w:pPr>
            <w:r>
              <w:rPr>
                <w:rFonts w:ascii="Calibri" w:hAnsi="Calibri" w:eastAsia="宋体" w:cs="Times New Roman"/>
                <w:i w:val="0"/>
                <w:iCs w:val="0"/>
                <w:color w:val="auto"/>
                <w:sz w:val="22"/>
                <w:szCs w:val="22"/>
              </w:rPr>
              <w:t>设备名称</w:t>
            </w:r>
          </w:p>
        </w:tc>
        <w:tc>
          <w:tcPr>
            <w:tcW w:w="1050" w:type="dxa"/>
            <w:noWrap w:val="0"/>
            <w:vAlign w:val="center"/>
          </w:tcPr>
          <w:p>
            <w:pPr>
              <w:adjustRightInd w:val="0"/>
              <w:snapToGrid w:val="0"/>
              <w:spacing w:line="400" w:lineRule="atLeast"/>
              <w:jc w:val="center"/>
              <w:rPr>
                <w:rFonts w:ascii="Calibri" w:hAnsi="Calibri" w:eastAsia="宋体" w:cs="Times New Roman"/>
                <w:i w:val="0"/>
                <w:iCs w:val="0"/>
                <w:color w:val="auto"/>
                <w:sz w:val="22"/>
                <w:szCs w:val="22"/>
              </w:rPr>
            </w:pPr>
            <w:r>
              <w:rPr>
                <w:rFonts w:ascii="Calibri" w:hAnsi="Calibri" w:eastAsia="宋体" w:cs="Times New Roman"/>
                <w:i w:val="0"/>
                <w:iCs w:val="0"/>
                <w:color w:val="auto"/>
                <w:sz w:val="22"/>
                <w:szCs w:val="22"/>
              </w:rPr>
              <w:t>单位</w:t>
            </w:r>
          </w:p>
        </w:tc>
        <w:tc>
          <w:tcPr>
            <w:tcW w:w="1050" w:type="dxa"/>
            <w:noWrap w:val="0"/>
            <w:vAlign w:val="center"/>
          </w:tcPr>
          <w:p>
            <w:pPr>
              <w:adjustRightInd w:val="0"/>
              <w:snapToGrid w:val="0"/>
              <w:spacing w:line="400" w:lineRule="atLeast"/>
              <w:jc w:val="center"/>
              <w:rPr>
                <w:rFonts w:ascii="Calibri" w:hAnsi="Calibri" w:eastAsia="宋体" w:cs="Times New Roman"/>
                <w:i w:val="0"/>
                <w:iCs w:val="0"/>
                <w:color w:val="auto"/>
                <w:sz w:val="22"/>
                <w:szCs w:val="22"/>
              </w:rPr>
            </w:pPr>
            <w:r>
              <w:rPr>
                <w:rFonts w:ascii="Calibri" w:hAnsi="Calibri" w:eastAsia="宋体" w:cs="Times New Roman"/>
                <w:i w:val="0"/>
                <w:iCs w:val="0"/>
                <w:color w:val="auto"/>
                <w:sz w:val="22"/>
                <w:szCs w:val="22"/>
              </w:rPr>
              <w:t>数量</w:t>
            </w:r>
          </w:p>
        </w:tc>
        <w:tc>
          <w:tcPr>
            <w:tcW w:w="2539" w:type="dxa"/>
            <w:noWrap w:val="0"/>
            <w:vAlign w:val="center"/>
          </w:tcPr>
          <w:p>
            <w:pPr>
              <w:adjustRightInd w:val="0"/>
              <w:snapToGrid w:val="0"/>
              <w:spacing w:line="400" w:lineRule="atLeast"/>
              <w:jc w:val="center"/>
              <w:rPr>
                <w:rFonts w:ascii="Calibri" w:hAnsi="Calibri" w:eastAsia="宋体" w:cs="Times New Roman"/>
                <w:i w:val="0"/>
                <w:iCs w:val="0"/>
                <w:color w:val="auto"/>
                <w:sz w:val="22"/>
                <w:szCs w:val="22"/>
              </w:rPr>
            </w:pPr>
            <w:r>
              <w:rPr>
                <w:rFonts w:ascii="Calibri" w:hAnsi="Calibri" w:eastAsia="宋体" w:cs="Times New Roman"/>
                <w:i w:val="0"/>
                <w:iCs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公路巡逻车（皮卡）</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轻型货车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1-4.5t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吹扫车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吹扫宽度2-3m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4</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割灌除草修剪机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30cm2/s,≥1.8kw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5</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护栏清洗车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水车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7</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绿化树木修剪机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8</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空压机（带2个风镐）</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9</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装载机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10</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液压破碎机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11</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压浆设备</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12</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路面切割机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13</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手扶震动压路机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14</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开槽、清灌缝设备</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15</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路面铣刨机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宽度0.5-2m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16</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沥青撒布车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≥2000L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17</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沥青摊铺机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18</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压路机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19</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微表处（稀浆封层车）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20</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超薄磨耗层沥青摊铺机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撒布摊铺一体机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21</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移动标志车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22</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多功能养护机械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≥26KW可换装挖掘、装载、破碎等养护作业常用的装置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23</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随车吊</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24</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移动式现场照明设施</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套</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照明范围≥200m夜间抢险及施工，按需配置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25</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发电照明设备</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套</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26</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移动发电机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27</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多功能自动除雪撒布车（带滚刷、铲子撒盐机具）</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12t（8成新）以上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28</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除冰车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29</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重型除雪铲</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铲面长度大于3m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30</w:t>
            </w:r>
          </w:p>
        </w:tc>
        <w:tc>
          <w:tcPr>
            <w:tcW w:w="3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登高车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5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bl>
    <w:p>
      <w:pPr>
        <w:widowControl/>
        <w:jc w:val="left"/>
        <w:rPr>
          <w:rFonts w:hint="eastAsia" w:ascii="宋体" w:hAnsi="宋体" w:eastAsia="宋体" w:cs="宋体"/>
          <w:i w:val="0"/>
          <w:iCs w:val="0"/>
          <w:color w:val="auto"/>
          <w:sz w:val="18"/>
          <w:szCs w:val="18"/>
          <w:highlight w:val="none"/>
          <w:u w:val="single"/>
        </w:rPr>
      </w:pPr>
      <w:r>
        <w:rPr>
          <w:rFonts w:hint="eastAsia" w:ascii="宋体" w:hAnsi="宋体" w:eastAsia="宋体" w:cs="宋体"/>
          <w:i w:val="0"/>
          <w:iCs w:val="0"/>
          <w:color w:val="auto"/>
          <w:sz w:val="18"/>
          <w:szCs w:val="18"/>
          <w:highlight w:val="none"/>
        </w:rPr>
        <w:t>注：</w:t>
      </w:r>
      <w:r>
        <w:rPr>
          <w:rFonts w:hint="eastAsia" w:ascii="宋体" w:hAnsi="宋体" w:eastAsia="宋体" w:cs="宋体"/>
          <w:i w:val="0"/>
          <w:iCs w:val="0"/>
          <w:color w:val="auto"/>
          <w:kern w:val="0"/>
          <w:sz w:val="18"/>
          <w:szCs w:val="18"/>
          <w:highlight w:val="none"/>
          <w:u w:val="single"/>
          <w:lang w:bidi="ar"/>
        </w:rPr>
        <w:t>投标人应按招标文件第八章“投标文件格式”相应内容、表格及下注说明的要求在其投标文件中填写相关内容、表格。如未按要求填写的，评标委员会在对其投标进行评审时将不予通过</w:t>
      </w:r>
      <w:r>
        <w:rPr>
          <w:rFonts w:hint="eastAsia" w:ascii="宋体" w:hAnsi="宋体" w:eastAsia="宋体" w:cs="宋体"/>
          <w:i w:val="0"/>
          <w:iCs w:val="0"/>
          <w:color w:val="auto"/>
          <w:sz w:val="18"/>
          <w:szCs w:val="18"/>
          <w:highlight w:val="none"/>
        </w:rPr>
        <w:t>。</w:t>
      </w:r>
    </w:p>
    <w:p>
      <w:pPr>
        <w:pStyle w:val="5"/>
        <w:jc w:val="center"/>
        <w:rPr>
          <w:rFonts w:hint="eastAsia"/>
          <w:i w:val="0"/>
          <w:iCs w:val="0"/>
          <w:color w:val="auto"/>
          <w:lang w:val="en-US" w:eastAsia="zh-CN" w:bidi="ar"/>
        </w:rPr>
        <w:sectPr>
          <w:footnotePr>
            <w:numFmt w:val="decimalEnclosedCircleChinese"/>
            <w:numRestart w:val="eachPage"/>
          </w:footnotePr>
          <w:pgSz w:w="11907" w:h="16840"/>
          <w:pgMar w:top="1417" w:right="1417" w:bottom="1417" w:left="1417" w:header="851" w:footer="850" w:gutter="0"/>
          <w:pgNumType w:fmt="decimal"/>
          <w:cols w:space="720" w:num="1"/>
          <w:docGrid w:linePitch="312" w:charSpace="0"/>
        </w:sect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Calibri" w:hAnsi="Calibri" w:eastAsia="宋体" w:cs="Times New Roman"/>
          <w:i w:val="0"/>
          <w:iCs w:val="0"/>
          <w:color w:val="auto"/>
          <w:lang w:val="en-US" w:eastAsia="zh-CN" w:bidi="ar"/>
        </w:rPr>
      </w:pPr>
      <w:r>
        <w:rPr>
          <w:rFonts w:hint="eastAsia" w:ascii="Calibri" w:hAnsi="Calibri" w:eastAsia="宋体" w:cs="Times New Roman"/>
          <w:i w:val="0"/>
          <w:iCs w:val="0"/>
          <w:color w:val="auto"/>
          <w:lang w:val="en-US" w:eastAsia="zh-CN" w:bidi="ar"/>
        </w:rPr>
        <w:t>3标段</w:t>
      </w:r>
    </w:p>
    <w:tbl>
      <w:tblPr>
        <w:tblStyle w:val="10"/>
        <w:tblpPr w:leftFromText="180" w:rightFromText="180" w:vertAnchor="text" w:horzAnchor="page" w:tblpX="1785"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400"/>
        <w:gridCol w:w="1033"/>
        <w:gridCol w:w="105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trPr>
        <w:tc>
          <w:tcPr>
            <w:tcW w:w="765" w:type="dxa"/>
            <w:noWrap w:val="0"/>
            <w:vAlign w:val="center"/>
          </w:tcPr>
          <w:p>
            <w:pPr>
              <w:adjustRightInd w:val="0"/>
              <w:snapToGrid w:val="0"/>
              <w:spacing w:line="400" w:lineRule="atLeast"/>
              <w:jc w:val="center"/>
              <w:rPr>
                <w:rFonts w:hint="eastAsia"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序号</w:t>
            </w:r>
          </w:p>
        </w:tc>
        <w:tc>
          <w:tcPr>
            <w:tcW w:w="3400" w:type="dxa"/>
            <w:noWrap w:val="0"/>
            <w:vAlign w:val="center"/>
          </w:tcPr>
          <w:p>
            <w:pPr>
              <w:adjustRightInd w:val="0"/>
              <w:snapToGrid w:val="0"/>
              <w:spacing w:line="400" w:lineRule="atLeast"/>
              <w:jc w:val="center"/>
              <w:rPr>
                <w:rFonts w:hint="eastAsia"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设备名称</w:t>
            </w:r>
          </w:p>
        </w:tc>
        <w:tc>
          <w:tcPr>
            <w:tcW w:w="1033" w:type="dxa"/>
            <w:noWrap w:val="0"/>
            <w:vAlign w:val="center"/>
          </w:tcPr>
          <w:p>
            <w:pPr>
              <w:adjustRightInd w:val="0"/>
              <w:snapToGrid w:val="0"/>
              <w:spacing w:line="400" w:lineRule="atLeast"/>
              <w:jc w:val="center"/>
              <w:rPr>
                <w:rFonts w:hint="eastAsia"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单位</w:t>
            </w:r>
          </w:p>
        </w:tc>
        <w:tc>
          <w:tcPr>
            <w:tcW w:w="1050" w:type="dxa"/>
            <w:noWrap w:val="0"/>
            <w:vAlign w:val="center"/>
          </w:tcPr>
          <w:p>
            <w:pPr>
              <w:adjustRightInd w:val="0"/>
              <w:snapToGrid w:val="0"/>
              <w:spacing w:line="400" w:lineRule="atLeast"/>
              <w:jc w:val="center"/>
              <w:rPr>
                <w:rFonts w:hint="eastAsia"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数量</w:t>
            </w:r>
          </w:p>
        </w:tc>
        <w:tc>
          <w:tcPr>
            <w:tcW w:w="2450" w:type="dxa"/>
            <w:noWrap w:val="0"/>
            <w:vAlign w:val="center"/>
          </w:tcPr>
          <w:p>
            <w:pPr>
              <w:adjustRightInd w:val="0"/>
              <w:snapToGrid w:val="0"/>
              <w:spacing w:line="400" w:lineRule="atLeast"/>
              <w:jc w:val="center"/>
              <w:rPr>
                <w:rFonts w:hint="eastAsia"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公路巡逻车</w:t>
            </w:r>
            <w:r>
              <w:rPr>
                <w:rFonts w:hint="eastAsia" w:ascii="宋体" w:hAnsi="宋体" w:eastAsia="宋体" w:cs="宋体"/>
                <w:i w:val="0"/>
                <w:iCs w:val="0"/>
                <w:color w:val="auto"/>
                <w:sz w:val="21"/>
                <w:szCs w:val="21"/>
                <w:lang w:eastAsia="zh-CN"/>
              </w:rPr>
              <w:t>（皮卡）</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3-6</w:t>
            </w:r>
            <w:r>
              <w:rPr>
                <w:rFonts w:hint="eastAsia" w:ascii="宋体" w:hAnsi="宋体" w:eastAsia="宋体" w:cs="宋体"/>
                <w:i w:val="0"/>
                <w:iCs w:val="0"/>
                <w:color w:val="auto"/>
                <w:sz w:val="21"/>
                <w:szCs w:val="21"/>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轻型货车</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val="en-US" w:eastAsia="zh-CN"/>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1-4.5t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吹扫车</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吹扫</w:t>
            </w:r>
            <w:r>
              <w:rPr>
                <w:rFonts w:hint="eastAsia" w:ascii="宋体" w:hAnsi="宋体" w:eastAsia="宋体" w:cs="宋体"/>
                <w:i w:val="0"/>
                <w:iCs w:val="0"/>
                <w:color w:val="auto"/>
                <w:sz w:val="21"/>
                <w:szCs w:val="21"/>
              </w:rPr>
              <w:t>宽度2-3m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4</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割灌除草修剪机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0cm</w:t>
            </w:r>
            <w:r>
              <w:rPr>
                <w:rFonts w:hint="eastAsia" w:ascii="宋体" w:hAnsi="宋体" w:eastAsia="宋体" w:cs="宋体"/>
                <w:i w:val="0"/>
                <w:iCs w:val="0"/>
                <w:color w:val="auto"/>
                <w:sz w:val="21"/>
                <w:szCs w:val="21"/>
                <w:lang w:val="en-US" w:eastAsia="zh-CN"/>
              </w:rPr>
              <w:t>2</w:t>
            </w:r>
            <w:r>
              <w:rPr>
                <w:rFonts w:hint="eastAsia" w:ascii="宋体" w:hAnsi="宋体" w:eastAsia="宋体" w:cs="宋体"/>
                <w:i w:val="0"/>
                <w:iCs w:val="0"/>
                <w:color w:val="auto"/>
                <w:sz w:val="21"/>
                <w:szCs w:val="21"/>
              </w:rPr>
              <w:t>/s,</w:t>
            </w:r>
            <w:r>
              <w:rPr>
                <w:rFonts w:hint="default" w:ascii="宋体" w:hAnsi="宋体" w:eastAsia="宋体" w:cs="宋体"/>
                <w:i w:val="0"/>
                <w:iCs w:val="0"/>
                <w:color w:val="auto"/>
                <w:sz w:val="21"/>
                <w:szCs w:val="21"/>
              </w:rPr>
              <w:t>≥</w:t>
            </w:r>
            <w:r>
              <w:rPr>
                <w:rFonts w:hint="eastAsia" w:ascii="宋体" w:hAnsi="宋体" w:eastAsia="宋体" w:cs="宋体"/>
                <w:i w:val="0"/>
                <w:iCs w:val="0"/>
                <w:color w:val="auto"/>
                <w:sz w:val="21"/>
                <w:szCs w:val="21"/>
                <w:lang w:val="en-US" w:eastAsia="zh-CN"/>
              </w:rPr>
              <w:t>1.8</w:t>
            </w:r>
            <w:r>
              <w:rPr>
                <w:rFonts w:hint="eastAsia" w:ascii="宋体" w:hAnsi="宋体" w:eastAsia="宋体" w:cs="宋体"/>
                <w:i w:val="0"/>
                <w:iCs w:val="0"/>
                <w:color w:val="auto"/>
                <w:sz w:val="21"/>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5</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护栏清洗车</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水车</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7</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绿化树木修剪机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8</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空压机（带</w:t>
            </w:r>
            <w:r>
              <w:rPr>
                <w:rFonts w:hint="eastAsia" w:ascii="宋体" w:hAnsi="宋体" w:eastAsia="宋体" w:cs="宋体"/>
                <w:i w:val="0"/>
                <w:iCs w:val="0"/>
                <w:color w:val="auto"/>
                <w:sz w:val="21"/>
                <w:szCs w:val="21"/>
                <w:lang w:val="en-US" w:eastAsia="zh-CN"/>
              </w:rPr>
              <w:t>2个风镐</w:t>
            </w:r>
            <w:r>
              <w:rPr>
                <w:rFonts w:hint="eastAsia" w:ascii="宋体" w:hAnsi="宋体" w:eastAsia="宋体" w:cs="宋体"/>
                <w:i w:val="0"/>
                <w:iCs w:val="0"/>
                <w:color w:val="auto"/>
                <w:sz w:val="21"/>
                <w:szCs w:val="21"/>
                <w:lang w:eastAsia="zh-CN"/>
              </w:rPr>
              <w:t>）</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9</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装载机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10</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液压破碎机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11</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压浆设备</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12</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路面切割机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13</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手扶震动压路机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default" w:ascii="宋体" w:hAnsi="宋体" w:eastAsia="宋体" w:cs="宋体"/>
                <w:i w:val="0"/>
                <w:iCs w:val="0"/>
                <w:color w:val="auto"/>
                <w:sz w:val="21"/>
                <w:szCs w:val="21"/>
              </w:rPr>
              <w:t>≤</w:t>
            </w:r>
            <w:r>
              <w:rPr>
                <w:rFonts w:hint="eastAsia" w:ascii="宋体" w:hAnsi="宋体" w:eastAsia="宋体" w:cs="宋体"/>
                <w:i w:val="0"/>
                <w:iCs w:val="0"/>
                <w:color w:val="auto"/>
                <w:sz w:val="21"/>
                <w:szCs w:val="21"/>
                <w:lang w:val="en-US" w:eastAsia="zh-CN"/>
              </w:rPr>
              <w:t>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14</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开槽、清灌缝设备</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15</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路面铣刨机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宽度</w:t>
            </w:r>
            <w:r>
              <w:rPr>
                <w:rFonts w:hint="eastAsia" w:ascii="宋体" w:hAnsi="宋体" w:eastAsia="宋体" w:cs="宋体"/>
                <w:i w:val="0"/>
                <w:iCs w:val="0"/>
                <w:color w:val="auto"/>
                <w:sz w:val="21"/>
                <w:szCs w:val="21"/>
                <w:lang w:val="en-US" w:eastAsia="zh-CN"/>
              </w:rPr>
              <w:t>0.5-2m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16</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沥青撒布车</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3</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val="en-US" w:eastAsia="zh-CN"/>
              </w:rPr>
              <w:t>2000L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17</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沥青摊铺机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rPr>
            </w:pP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val="en-US" w:eastAsia="zh-CN"/>
              </w:rPr>
              <w:t>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18</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压路机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19</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微表处（稀浆封层车）</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20</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超薄磨耗层沥青摊铺机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撒布摊铺一体机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21</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移动标志车</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22</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多功能养护机械</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val="en-US" w:eastAsia="zh-CN"/>
              </w:rPr>
              <w:t>26KW可换装挖掘、装载、破碎等养护作业常用的装置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23</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随车吊</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val="en-US" w:eastAsia="zh-CN"/>
              </w:rPr>
              <w:t>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24</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移动式现场照明设施</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套</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照明范围</w:t>
            </w:r>
            <w:r>
              <w:rPr>
                <w:rFonts w:hint="eastAsia" w:ascii="宋体" w:hAnsi="宋体" w:eastAsia="宋体" w:cs="宋体"/>
                <w:i w:val="0"/>
                <w:iCs w:val="0"/>
                <w:color w:val="auto"/>
                <w:sz w:val="21"/>
                <w:szCs w:val="21"/>
              </w:rPr>
              <w:t>≥</w:t>
            </w:r>
            <w:r>
              <w:rPr>
                <w:rFonts w:hint="eastAsia" w:ascii="宋体" w:hAnsi="宋体" w:eastAsia="宋体" w:cs="宋体"/>
                <w:i w:val="0"/>
                <w:iCs w:val="0"/>
                <w:color w:val="auto"/>
                <w:sz w:val="21"/>
                <w:szCs w:val="21"/>
                <w:lang w:val="en-US" w:eastAsia="zh-CN"/>
              </w:rPr>
              <w:t>200m夜间抢险及施工，按需配置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25</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发电照明设备</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套</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26</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移动发电机</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27</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多功能自动除雪撒布车（带滚刷、铲子撒盐机具）</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12t（8成新）以上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28</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除冰车</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29</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重型除雪铲</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铲面长度大于</w:t>
            </w:r>
            <w:r>
              <w:rPr>
                <w:rFonts w:hint="eastAsia" w:ascii="宋体" w:hAnsi="宋体" w:eastAsia="宋体" w:cs="宋体"/>
                <w:i w:val="0"/>
                <w:iCs w:val="0"/>
                <w:color w:val="auto"/>
                <w:sz w:val="21"/>
                <w:szCs w:val="21"/>
                <w:lang w:val="en-US" w:eastAsia="zh-CN"/>
              </w:rPr>
              <w:t>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30</w:t>
            </w:r>
          </w:p>
        </w:tc>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登高车</w:t>
            </w:r>
          </w:p>
        </w:tc>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4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eastAsia="zh-CN"/>
              </w:rPr>
            </w:pPr>
          </w:p>
        </w:tc>
      </w:tr>
    </w:tbl>
    <w:p>
      <w:pPr>
        <w:widowControl/>
        <w:jc w:val="left"/>
        <w:rPr>
          <w:rFonts w:hint="eastAsia" w:ascii="宋体" w:hAnsi="宋体" w:eastAsia="宋体" w:cs="宋体"/>
          <w:i w:val="0"/>
          <w:iCs w:val="0"/>
          <w:color w:val="auto"/>
          <w:sz w:val="18"/>
          <w:szCs w:val="18"/>
          <w:highlight w:val="none"/>
          <w:u w:val="single"/>
        </w:rPr>
      </w:pPr>
      <w:r>
        <w:rPr>
          <w:rFonts w:hint="eastAsia" w:ascii="宋体" w:hAnsi="宋体" w:eastAsia="宋体" w:cs="宋体"/>
          <w:i w:val="0"/>
          <w:iCs w:val="0"/>
          <w:color w:val="auto"/>
          <w:sz w:val="18"/>
          <w:szCs w:val="18"/>
          <w:highlight w:val="none"/>
        </w:rPr>
        <w:t>注：</w:t>
      </w:r>
      <w:r>
        <w:rPr>
          <w:rFonts w:hint="eastAsia" w:ascii="宋体" w:hAnsi="宋体" w:eastAsia="宋体" w:cs="宋体"/>
          <w:i w:val="0"/>
          <w:iCs w:val="0"/>
          <w:color w:val="auto"/>
          <w:kern w:val="0"/>
          <w:sz w:val="18"/>
          <w:szCs w:val="18"/>
          <w:highlight w:val="none"/>
          <w:u w:val="single"/>
          <w:lang w:bidi="ar"/>
        </w:rPr>
        <w:t>投标人应按招标文件第八章“投标文件格式”相应内容、表格及下注说明的要求在其投标文件中填写相关内容、表格。如未按要求填写的，评标委员会在对其投标进行评审时将不予通过</w:t>
      </w:r>
      <w:r>
        <w:rPr>
          <w:rFonts w:hint="eastAsia" w:ascii="宋体" w:hAnsi="宋体" w:eastAsia="宋体" w:cs="宋体"/>
          <w:i w:val="0"/>
          <w:iCs w:val="0"/>
          <w:color w:val="auto"/>
          <w:sz w:val="18"/>
          <w:szCs w:val="18"/>
          <w:highlight w:val="none"/>
        </w:rPr>
        <w:t>。</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Calibri" w:hAnsi="Calibri" w:eastAsia="宋体" w:cs="Times New Roman"/>
          <w:i w:val="0"/>
          <w:iCs w:val="0"/>
          <w:color w:val="auto"/>
          <w:lang w:val="en-US" w:eastAsia="zh-CN" w:bidi="ar"/>
        </w:rPr>
      </w:pPr>
      <w:r>
        <w:rPr>
          <w:rFonts w:hint="eastAsia" w:ascii="Calibri" w:hAnsi="Calibri" w:eastAsia="宋体" w:cs="Times New Roman"/>
          <w:i w:val="0"/>
          <w:iCs w:val="0"/>
          <w:color w:val="auto"/>
          <w:lang w:val="en-US" w:eastAsia="zh-CN" w:bidi="ar"/>
        </w:rPr>
        <w:t>4标段</w:t>
      </w:r>
    </w:p>
    <w:tbl>
      <w:tblPr>
        <w:tblStyle w:val="10"/>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41"/>
        <w:gridCol w:w="1050"/>
        <w:gridCol w:w="1050"/>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adjustRightInd w:val="0"/>
              <w:snapToGrid w:val="0"/>
              <w:spacing w:line="400" w:lineRule="atLeast"/>
              <w:jc w:val="center"/>
              <w:rPr>
                <w:rFonts w:hint="eastAsia"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序号</w:t>
            </w:r>
          </w:p>
        </w:tc>
        <w:tc>
          <w:tcPr>
            <w:tcW w:w="3841" w:type="dxa"/>
            <w:noWrap w:val="0"/>
            <w:vAlign w:val="center"/>
          </w:tcPr>
          <w:p>
            <w:pPr>
              <w:adjustRightInd w:val="0"/>
              <w:snapToGrid w:val="0"/>
              <w:spacing w:line="400" w:lineRule="atLeast"/>
              <w:jc w:val="center"/>
              <w:rPr>
                <w:rFonts w:hint="eastAsia"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设备名称</w:t>
            </w:r>
          </w:p>
        </w:tc>
        <w:tc>
          <w:tcPr>
            <w:tcW w:w="1050" w:type="dxa"/>
            <w:noWrap w:val="0"/>
            <w:vAlign w:val="center"/>
          </w:tcPr>
          <w:p>
            <w:pPr>
              <w:adjustRightInd w:val="0"/>
              <w:snapToGrid w:val="0"/>
              <w:spacing w:line="400" w:lineRule="atLeast"/>
              <w:jc w:val="center"/>
              <w:rPr>
                <w:rFonts w:hint="eastAsia"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单位</w:t>
            </w:r>
          </w:p>
        </w:tc>
        <w:tc>
          <w:tcPr>
            <w:tcW w:w="1050" w:type="dxa"/>
            <w:noWrap w:val="0"/>
            <w:vAlign w:val="center"/>
          </w:tcPr>
          <w:p>
            <w:pPr>
              <w:adjustRightInd w:val="0"/>
              <w:snapToGrid w:val="0"/>
              <w:spacing w:line="400" w:lineRule="atLeast"/>
              <w:jc w:val="center"/>
              <w:rPr>
                <w:rFonts w:hint="eastAsia"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数量</w:t>
            </w:r>
          </w:p>
        </w:tc>
        <w:tc>
          <w:tcPr>
            <w:tcW w:w="2517" w:type="dxa"/>
            <w:noWrap w:val="0"/>
            <w:vAlign w:val="center"/>
          </w:tcPr>
          <w:p>
            <w:pPr>
              <w:adjustRightInd w:val="0"/>
              <w:snapToGrid w:val="0"/>
              <w:spacing w:line="400" w:lineRule="atLeast"/>
              <w:jc w:val="center"/>
              <w:rPr>
                <w:rFonts w:hint="eastAsia" w:ascii="Calibri" w:hAnsi="Calibri" w:eastAsia="宋体" w:cs="Times New Roman"/>
                <w:i w:val="0"/>
                <w:iCs w:val="0"/>
                <w:color w:val="auto"/>
                <w:sz w:val="22"/>
                <w:szCs w:val="22"/>
              </w:rPr>
            </w:pPr>
            <w:r>
              <w:rPr>
                <w:rFonts w:hint="eastAsia" w:ascii="Calibri" w:hAnsi="Calibri" w:eastAsia="宋体" w:cs="Times New Roman"/>
                <w:i w:val="0"/>
                <w:iCs w:val="0"/>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w:t>
            </w:r>
          </w:p>
        </w:tc>
        <w:tc>
          <w:tcPr>
            <w:tcW w:w="3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公路巡逻车(皮卡）</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5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3-6 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3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轻型货车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5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1-4.5t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w:t>
            </w:r>
          </w:p>
        </w:tc>
        <w:tc>
          <w:tcPr>
            <w:tcW w:w="3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吹扫车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5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吹扫宽度 2-3m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4</w:t>
            </w:r>
          </w:p>
        </w:tc>
        <w:tc>
          <w:tcPr>
            <w:tcW w:w="3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割灌除草修剪机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8</w:t>
            </w:r>
          </w:p>
        </w:tc>
        <w:tc>
          <w:tcPr>
            <w:tcW w:w="25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30cm2/s,≥1.8kw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5</w:t>
            </w:r>
          </w:p>
        </w:tc>
        <w:tc>
          <w:tcPr>
            <w:tcW w:w="3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护栏清洗车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5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6</w:t>
            </w:r>
          </w:p>
        </w:tc>
        <w:tc>
          <w:tcPr>
            <w:tcW w:w="3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水车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5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7</w:t>
            </w:r>
          </w:p>
        </w:tc>
        <w:tc>
          <w:tcPr>
            <w:tcW w:w="3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剪枝机</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5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8</w:t>
            </w:r>
          </w:p>
        </w:tc>
        <w:tc>
          <w:tcPr>
            <w:tcW w:w="3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路面清扫车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2</w:t>
            </w:r>
          </w:p>
        </w:tc>
        <w:tc>
          <w:tcPr>
            <w:tcW w:w="25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i w:val="0"/>
                <w:iCs w:val="0"/>
                <w:color w:val="auto"/>
                <w:sz w:val="21"/>
                <w:szCs w:val="21"/>
                <w:lang w:val="en-US" w:eastAsia="zh-CN"/>
              </w:rPr>
            </w:pPr>
          </w:p>
        </w:tc>
      </w:tr>
    </w:tbl>
    <w:p>
      <w:pPr>
        <w:widowControl/>
        <w:jc w:val="left"/>
        <w:rPr>
          <w:rFonts w:hint="eastAsia" w:ascii="宋体" w:hAnsi="宋体" w:eastAsia="宋体" w:cs="宋体"/>
          <w:i w:val="0"/>
          <w:iCs w:val="0"/>
          <w:color w:val="auto"/>
          <w:sz w:val="18"/>
          <w:szCs w:val="18"/>
          <w:highlight w:val="none"/>
          <w:u w:val="single"/>
        </w:rPr>
      </w:pPr>
      <w:r>
        <w:rPr>
          <w:rFonts w:hint="eastAsia" w:ascii="宋体" w:hAnsi="宋体" w:eastAsia="宋体" w:cs="宋体"/>
          <w:i w:val="0"/>
          <w:iCs w:val="0"/>
          <w:color w:val="auto"/>
          <w:sz w:val="18"/>
          <w:szCs w:val="18"/>
          <w:highlight w:val="none"/>
        </w:rPr>
        <w:t>注：</w:t>
      </w:r>
      <w:r>
        <w:rPr>
          <w:rFonts w:hint="eastAsia" w:ascii="宋体" w:hAnsi="宋体" w:eastAsia="宋体" w:cs="宋体"/>
          <w:i w:val="0"/>
          <w:iCs w:val="0"/>
          <w:color w:val="auto"/>
          <w:kern w:val="0"/>
          <w:sz w:val="18"/>
          <w:szCs w:val="18"/>
          <w:highlight w:val="none"/>
          <w:u w:val="single"/>
          <w:lang w:bidi="ar"/>
        </w:rPr>
        <w:t>投标人应按招标文件第八章“投标文件格式”相应内容、表格及下注说明的要求在其投标文件中填写相关内容、表格。如未按要求填写的，评标委员会在对其投标进行评审时将不予通过</w:t>
      </w:r>
      <w:r>
        <w:rPr>
          <w:rFonts w:hint="eastAsia" w:ascii="宋体" w:hAnsi="宋体" w:eastAsia="宋体" w:cs="宋体"/>
          <w:i w:val="0"/>
          <w:iCs w:val="0"/>
          <w:color w:val="auto"/>
          <w:sz w:val="18"/>
          <w:szCs w:val="18"/>
          <w:highlight w:val="none"/>
        </w:rPr>
        <w:t>。</w:t>
      </w:r>
    </w:p>
    <w:p>
      <w:pPr>
        <w:tabs>
          <w:tab w:val="left" w:pos="2520"/>
        </w:tabs>
        <w:spacing w:line="360" w:lineRule="auto"/>
        <w:rPr>
          <w:rFonts w:hint="eastAsia" w:ascii="宋体" w:hAnsi="宋体" w:cs="宋体"/>
          <w:b/>
          <w:bCs/>
          <w:i w:val="0"/>
          <w:iCs w:val="0"/>
          <w:color w:val="auto"/>
          <w:sz w:val="28"/>
          <w:szCs w:val="28"/>
        </w:rPr>
      </w:pPr>
    </w:p>
    <w:p>
      <w:pPr>
        <w:pStyle w:val="9"/>
        <w:ind w:left="0" w:leftChars="0" w:firstLine="0" w:firstLineChars="0"/>
        <w:rPr>
          <w:rFonts w:hint="eastAsia" w:ascii="宋体" w:hAnsi="宋体" w:cs="宋体"/>
          <w:i w:val="0"/>
          <w:iCs w:val="0"/>
          <w:color w:val="auto"/>
        </w:rPr>
      </w:pPr>
    </w:p>
    <w:p>
      <w:pPr>
        <w:widowControl/>
        <w:spacing w:line="240" w:lineRule="auto"/>
        <w:jc w:val="left"/>
        <w:rPr>
          <w:rFonts w:hint="eastAsia" w:ascii="宋体" w:hAnsi="宋体" w:eastAsia="宋体" w:cs="宋体"/>
          <w:bCs/>
          <w:i w:val="0"/>
          <w:iCs w:val="0"/>
          <w:color w:val="auto"/>
          <w:kern w:val="0"/>
          <w:szCs w:val="20"/>
          <w:highlight w:val="none"/>
        </w:rPr>
        <w:sectPr>
          <w:footerReference r:id="rId8" w:type="default"/>
          <w:footnotePr>
            <w:numFmt w:val="decimalEnclosedCircleChinese"/>
            <w:numRestart w:val="eachPage"/>
          </w:footnotePr>
          <w:pgSz w:w="11907" w:h="16840"/>
          <w:pgMar w:top="1417" w:right="1417" w:bottom="1417" w:left="1417" w:header="851" w:footer="850" w:gutter="0"/>
          <w:pgNumType w:fmt="decimal"/>
          <w:cols w:space="720" w:num="1"/>
          <w:docGrid w:linePitch="312" w:charSpace="0"/>
        </w:sectPr>
      </w:pPr>
    </w:p>
    <w:p>
      <w:pPr>
        <w:pStyle w:val="5"/>
        <w:rPr>
          <w:rFonts w:hint="eastAsia" w:ascii="宋体" w:hAnsi="宋体" w:eastAsia="宋体" w:cs="宋体"/>
          <w:i w:val="0"/>
          <w:iCs w:val="0"/>
          <w:color w:val="auto"/>
          <w:highlight w:val="none"/>
        </w:rPr>
      </w:pPr>
      <w:bookmarkStart w:id="21" w:name="_Toc1407"/>
      <w:bookmarkStart w:id="22" w:name="_Toc10115"/>
      <w:r>
        <w:rPr>
          <w:rFonts w:hint="eastAsia" w:ascii="宋体" w:hAnsi="宋体" w:eastAsia="宋体" w:cs="宋体"/>
          <w:i w:val="0"/>
          <w:iCs w:val="0"/>
          <w:color w:val="auto"/>
          <w:highlight w:val="none"/>
        </w:rPr>
        <w:t>附录6  资格审查条件(业绩最低要求)</w:t>
      </w:r>
      <w:bookmarkEnd w:id="21"/>
      <w:bookmarkEnd w:id="2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标段号</w:t>
            </w:r>
          </w:p>
        </w:tc>
        <w:tc>
          <w:tcPr>
            <w:tcW w:w="7054" w:type="dxa"/>
            <w:noWrap w:val="0"/>
            <w:vAlign w:val="center"/>
          </w:tcPr>
          <w:p>
            <w:pPr>
              <w:jc w:val="center"/>
              <w:rPr>
                <w:rFonts w:hint="eastAsia" w:ascii="宋体" w:hAnsi="宋体" w:eastAsia="宋体" w:cs="宋体"/>
                <w:bCs/>
                <w:i w:val="0"/>
                <w:iCs w:val="0"/>
                <w:color w:val="auto"/>
                <w:highlight w:val="none"/>
              </w:rPr>
            </w:pPr>
            <w:r>
              <w:rPr>
                <w:rFonts w:hint="eastAsia" w:ascii="宋体" w:hAnsi="宋体" w:eastAsia="宋体" w:cs="宋体"/>
                <w:bCs/>
                <w:i w:val="0"/>
                <w:iCs w:val="0"/>
                <w:color w:val="auto"/>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1"/>
                <w:szCs w:val="21"/>
                <w:highlight w:val="none"/>
                <w:lang w:eastAsia="zh-CN"/>
              </w:rPr>
              <w:t>所有</w:t>
            </w:r>
            <w:r>
              <w:rPr>
                <w:rFonts w:hint="eastAsia" w:ascii="宋体" w:hAnsi="宋体" w:cs="宋体"/>
                <w:i w:val="0"/>
                <w:iCs w:val="0"/>
                <w:color w:val="auto"/>
                <w:sz w:val="21"/>
                <w:szCs w:val="21"/>
                <w:highlight w:val="none"/>
              </w:rPr>
              <w:t>标段</w:t>
            </w:r>
          </w:p>
        </w:tc>
        <w:tc>
          <w:tcPr>
            <w:tcW w:w="7054" w:type="dxa"/>
            <w:noWrap w:val="0"/>
            <w:vAlign w:val="center"/>
          </w:tcPr>
          <w:p>
            <w:pPr>
              <w:spacing w:line="360" w:lineRule="exact"/>
              <w:jc w:val="left"/>
              <w:rPr>
                <w:rFonts w:hint="eastAsia" w:ascii="宋体" w:hAnsi="宋体" w:eastAsia="宋体" w:cs="宋体"/>
                <w:i w:val="0"/>
                <w:iCs w:val="0"/>
                <w:color w:val="auto"/>
                <w:sz w:val="22"/>
                <w:szCs w:val="22"/>
                <w:highlight w:val="none"/>
              </w:rPr>
            </w:pPr>
            <w:r>
              <w:rPr>
                <w:rFonts w:hint="eastAsia" w:ascii="宋体" w:hAnsi="宋体" w:cs="宋体"/>
                <w:i w:val="0"/>
                <w:iCs w:val="0"/>
                <w:color w:val="auto"/>
                <w:sz w:val="21"/>
                <w:szCs w:val="21"/>
                <w:highlight w:val="none"/>
              </w:rPr>
              <w:t>投标人近</w:t>
            </w:r>
            <w:r>
              <w:rPr>
                <w:rFonts w:hint="eastAsia" w:ascii="宋体" w:hAnsi="宋体" w:cs="宋体"/>
                <w:i w:val="0"/>
                <w:iCs w:val="0"/>
                <w:color w:val="auto"/>
                <w:sz w:val="21"/>
                <w:szCs w:val="21"/>
                <w:highlight w:val="none"/>
                <w:lang w:val="en-US" w:eastAsia="zh-CN"/>
              </w:rPr>
              <w:t>5</w:t>
            </w:r>
            <w:r>
              <w:rPr>
                <w:rFonts w:hint="eastAsia" w:ascii="宋体" w:hAnsi="宋体" w:cs="宋体"/>
                <w:i w:val="0"/>
                <w:iCs w:val="0"/>
                <w:color w:val="auto"/>
                <w:sz w:val="21"/>
                <w:szCs w:val="21"/>
                <w:highlight w:val="none"/>
              </w:rPr>
              <w:t>年承担过</w:t>
            </w:r>
            <w:r>
              <w:rPr>
                <w:rFonts w:hint="eastAsia" w:ascii="宋体" w:hAnsi="宋体" w:cs="宋体"/>
                <w:i w:val="0"/>
                <w:iCs w:val="0"/>
                <w:color w:val="auto"/>
                <w:sz w:val="21"/>
                <w:szCs w:val="21"/>
                <w:highlight w:val="none"/>
                <w:lang w:eastAsia="zh-CN"/>
              </w:rPr>
              <w:t>单项</w:t>
            </w:r>
            <w:r>
              <w:rPr>
                <w:rFonts w:hint="eastAsia" w:ascii="宋体" w:hAnsi="宋体" w:cs="宋体"/>
                <w:i w:val="0"/>
                <w:iCs w:val="0"/>
                <w:color w:val="auto"/>
                <w:sz w:val="21"/>
                <w:szCs w:val="21"/>
                <w:highlight w:val="none"/>
              </w:rPr>
              <w:t>合同金额</w:t>
            </w:r>
            <w:r>
              <w:rPr>
                <w:rFonts w:hint="eastAsia" w:ascii="宋体" w:hAnsi="宋体" w:cs="宋体"/>
                <w:i w:val="0"/>
                <w:iCs w:val="0"/>
                <w:color w:val="auto"/>
                <w:sz w:val="21"/>
                <w:szCs w:val="21"/>
                <w:highlight w:val="none"/>
                <w:lang w:eastAsia="zh-CN"/>
              </w:rPr>
              <w:t>为</w:t>
            </w:r>
            <w:r>
              <w:rPr>
                <w:rFonts w:hint="eastAsia" w:ascii="宋体" w:hAnsi="宋体" w:cs="宋体"/>
                <w:i w:val="0"/>
                <w:iCs w:val="0"/>
                <w:color w:val="auto"/>
                <w:sz w:val="21"/>
                <w:szCs w:val="21"/>
                <w:highlight w:val="none"/>
                <w:lang w:val="en-US" w:eastAsia="zh-CN"/>
              </w:rPr>
              <w:t>2</w:t>
            </w:r>
            <w:r>
              <w:rPr>
                <w:rFonts w:hint="eastAsia" w:ascii="宋体" w:hAnsi="宋体" w:cs="宋体"/>
                <w:i w:val="0"/>
                <w:iCs w:val="0"/>
                <w:color w:val="auto"/>
                <w:sz w:val="21"/>
                <w:szCs w:val="21"/>
                <w:highlight w:val="none"/>
              </w:rPr>
              <w:t>00万元及以上的高速公路养护工程劳务施工经验。</w:t>
            </w:r>
          </w:p>
        </w:tc>
      </w:tr>
    </w:tbl>
    <w:p>
      <w:pPr>
        <w:widowControl/>
        <w:jc w:val="left"/>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z w:val="18"/>
          <w:szCs w:val="18"/>
          <w:highlight w:val="none"/>
        </w:rPr>
        <w:t>注：</w:t>
      </w:r>
      <w:r>
        <w:rPr>
          <w:rFonts w:hint="eastAsia" w:ascii="宋体" w:hAnsi="宋体" w:eastAsia="宋体" w:cs="宋体"/>
          <w:i w:val="0"/>
          <w:iCs w:val="0"/>
          <w:color w:val="auto"/>
          <w:sz w:val="18"/>
          <w:szCs w:val="18"/>
          <w:highlight w:val="none"/>
          <w:u w:val="single"/>
        </w:rPr>
        <w:t>1.投标人应按招标文件第八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招标公告及招标文件所指的近</w:t>
      </w:r>
      <w:r>
        <w:rPr>
          <w:rFonts w:hint="eastAsia" w:ascii="宋体" w:hAnsi="宋体" w:eastAsia="宋体" w:cs="宋体"/>
          <w:i w:val="0"/>
          <w:iCs w:val="0"/>
          <w:color w:val="auto"/>
          <w:sz w:val="18"/>
          <w:szCs w:val="18"/>
          <w:highlight w:val="none"/>
          <w:u w:val="single"/>
          <w:lang w:val="en-US" w:eastAsia="zh-CN"/>
        </w:rPr>
        <w:t>5</w:t>
      </w:r>
      <w:r>
        <w:rPr>
          <w:rFonts w:hint="eastAsia" w:ascii="宋体" w:hAnsi="宋体" w:eastAsia="宋体" w:cs="宋体"/>
          <w:i w:val="0"/>
          <w:iCs w:val="0"/>
          <w:color w:val="auto"/>
          <w:sz w:val="18"/>
          <w:szCs w:val="18"/>
          <w:highlight w:val="none"/>
          <w:u w:val="single"/>
        </w:rPr>
        <w:t>年，即合同签订时间为201</w:t>
      </w:r>
      <w:r>
        <w:rPr>
          <w:rFonts w:hint="eastAsia" w:ascii="宋体" w:hAnsi="宋体" w:eastAsia="宋体" w:cs="宋体"/>
          <w:i w:val="0"/>
          <w:iCs w:val="0"/>
          <w:color w:val="auto"/>
          <w:sz w:val="18"/>
          <w:szCs w:val="18"/>
          <w:highlight w:val="none"/>
          <w:u w:val="single"/>
          <w:lang w:val="en-US" w:eastAsia="zh-CN"/>
        </w:rPr>
        <w:t>7</w:t>
      </w:r>
      <w:r>
        <w:rPr>
          <w:rFonts w:hint="eastAsia" w:ascii="宋体" w:hAnsi="宋体" w:eastAsia="宋体" w:cs="宋体"/>
          <w:i w:val="0"/>
          <w:iCs w:val="0"/>
          <w:color w:val="auto"/>
          <w:sz w:val="18"/>
          <w:szCs w:val="18"/>
          <w:highlight w:val="none"/>
          <w:u w:val="single"/>
        </w:rPr>
        <w:t>年</w:t>
      </w:r>
      <w:r>
        <w:rPr>
          <w:rFonts w:hint="eastAsia" w:ascii="宋体" w:hAnsi="宋体" w:eastAsia="宋体" w:cs="宋体"/>
          <w:i w:val="0"/>
          <w:iCs w:val="0"/>
          <w:color w:val="auto"/>
          <w:sz w:val="18"/>
          <w:szCs w:val="18"/>
          <w:highlight w:val="none"/>
          <w:u w:val="single"/>
          <w:lang w:val="en-US" w:eastAsia="zh-CN"/>
        </w:rPr>
        <w:t>01</w:t>
      </w:r>
      <w:r>
        <w:rPr>
          <w:rFonts w:hint="eastAsia" w:ascii="宋体" w:hAnsi="宋体" w:eastAsia="宋体" w:cs="宋体"/>
          <w:i w:val="0"/>
          <w:iCs w:val="0"/>
          <w:color w:val="auto"/>
          <w:sz w:val="18"/>
          <w:szCs w:val="18"/>
          <w:highlight w:val="none"/>
          <w:u w:val="single"/>
        </w:rPr>
        <w:t>月01日至递交投标文件的截止时间前一日</w:t>
      </w:r>
      <w:r>
        <w:rPr>
          <w:rFonts w:hint="eastAsia" w:ascii="宋体" w:hAnsi="宋体" w:eastAsia="宋体" w:cs="宋体"/>
          <w:i w:val="0"/>
          <w:iCs w:val="0"/>
          <w:color w:val="auto"/>
          <w:sz w:val="18"/>
          <w:szCs w:val="18"/>
          <w:highlight w:val="none"/>
        </w:rPr>
        <w:t>。</w:t>
      </w:r>
    </w:p>
    <w:p>
      <w:pPr>
        <w:spacing w:line="200" w:lineRule="exact"/>
        <w:jc w:val="center"/>
        <w:rPr>
          <w:rStyle w:val="12"/>
          <w:rFonts w:hint="eastAsia" w:ascii="宋体" w:hAnsi="宋体" w:eastAsia="宋体" w:cs="宋体"/>
          <w:i w:val="0"/>
          <w:iCs w:val="0"/>
          <w:color w:val="auto"/>
          <w:sz w:val="42"/>
          <w:szCs w:val="42"/>
          <w:highlight w:val="none"/>
        </w:rPr>
      </w:pPr>
    </w:p>
    <w:p>
      <w:pPr>
        <w:widowControl/>
        <w:jc w:val="left"/>
        <w:rPr>
          <w:rFonts w:hint="eastAsia" w:ascii="宋体" w:hAnsi="宋体" w:eastAsia="宋体" w:cs="宋体"/>
          <w:i w:val="0"/>
          <w:iCs w:val="0"/>
          <w:color w:val="auto"/>
          <w:szCs w:val="21"/>
          <w:highlight w:val="none"/>
        </w:rPr>
      </w:pPr>
      <w:bookmarkStart w:id="23" w:name="_Toc517965191"/>
      <w:bookmarkStart w:id="24" w:name="_Toc531701372"/>
      <w:bookmarkStart w:id="25" w:name="_Toc524882209"/>
      <w:bookmarkStart w:id="26" w:name="_Toc531701499"/>
    </w:p>
    <w:bookmarkEnd w:id="23"/>
    <w:bookmarkEnd w:id="24"/>
    <w:bookmarkEnd w:id="25"/>
    <w:bookmarkEnd w:id="26"/>
    <w:p>
      <w:pPr>
        <w:rPr>
          <w:rFonts w:hint="eastAsia" w:ascii="宋体" w:hAnsi="宋体" w:eastAsia="宋体" w:cs="宋体"/>
          <w:i w:val="0"/>
          <w:iCs w:val="0"/>
          <w:color w:val="auto"/>
          <w:highlight w:val="none"/>
        </w:rPr>
      </w:pPr>
    </w:p>
    <w:p>
      <w:pPr>
        <w:rPr>
          <w:color w:val="auto"/>
        </w:rPr>
      </w:pPr>
    </w:p>
    <w:p>
      <w:bookmarkStart w:id="27" w:name="_GoBack"/>
      <w:bookmarkEnd w:id="27"/>
    </w:p>
    <w:sectPr>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spacing w:line="240" w:lineRule="exact"/>
      <w:ind w:right="360" w:firstLine="360"/>
      <w:jc w:val="center"/>
      <w:rPr>
        <w:rFonts w:hint="eastAsia"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pPr>
                      <w:pStyle w:val="7"/>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spacing w:line="240" w:lineRule="exact"/>
      <w:ind w:right="360" w:firstLine="360"/>
      <w:jc w:val="center"/>
      <w:rPr>
        <w:rFonts w:hint="eastAsia"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spacing w:line="240" w:lineRule="exact"/>
      <w:ind w:right="360" w:firstLine="360"/>
      <w:jc w:val="center"/>
      <w:rPr>
        <w:rFonts w:hint="eastAsia" w:eastAsia="黑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12C82"/>
    <w:rsid w:val="1D712C82"/>
    <w:rsid w:val="2504091F"/>
    <w:rsid w:val="3C67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200" w:beforeLines="0" w:after="200" w:afterLines="0" w:line="400" w:lineRule="exact"/>
      <w:jc w:val="left"/>
      <w:outlineLvl w:val="0"/>
    </w:pPr>
    <w:rPr>
      <w:rFonts w:eastAsia="黑体"/>
      <w:bCs/>
      <w:kern w:val="44"/>
      <w:szCs w:val="44"/>
    </w:rPr>
  </w:style>
  <w:style w:type="paragraph" w:styleId="5">
    <w:name w:val="heading 3"/>
    <w:basedOn w:val="1"/>
    <w:next w:val="1"/>
    <w:qFormat/>
    <w:uiPriority w:val="0"/>
    <w:pPr>
      <w:widowControl/>
      <w:spacing w:before="120" w:beforeLines="0" w:after="120" w:afterLines="0" w:line="360" w:lineRule="auto"/>
      <w:outlineLvl w:val="2"/>
    </w:pPr>
    <w:rPr>
      <w:rFonts w:eastAsia="黑体"/>
      <w:bCs/>
      <w:iCs/>
      <w:kern w:val="0"/>
      <w:szCs w:val="20"/>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afterLines="0"/>
    </w:pPr>
  </w:style>
  <w:style w:type="paragraph" w:styleId="6">
    <w:name w:val="Body Text Indent"/>
    <w:basedOn w:val="1"/>
    <w:next w:val="1"/>
    <w:qFormat/>
    <w:uiPriority w:val="0"/>
    <w:pPr>
      <w:spacing w:after="120" w:afterLines="0"/>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itle"/>
    <w:basedOn w:val="1"/>
    <w:link w:val="12"/>
    <w:qFormat/>
    <w:uiPriority w:val="0"/>
    <w:pPr>
      <w:adjustRightInd w:val="0"/>
      <w:spacing w:before="240" w:beforeLines="0" w:after="60" w:afterLines="0" w:line="420" w:lineRule="atLeast"/>
      <w:jc w:val="center"/>
      <w:textAlignment w:val="baseline"/>
      <w:outlineLvl w:val="0"/>
    </w:pPr>
    <w:rPr>
      <w:rFonts w:ascii="Arial" w:hAnsi="Arial" w:eastAsia="黑体"/>
      <w:b/>
      <w:kern w:val="0"/>
      <w:sz w:val="44"/>
      <w:szCs w:val="20"/>
    </w:rPr>
  </w:style>
  <w:style w:type="paragraph" w:styleId="9">
    <w:name w:val="Body Text First Indent 2"/>
    <w:basedOn w:val="6"/>
    <w:next w:val="1"/>
    <w:qFormat/>
    <w:uiPriority w:val="0"/>
    <w:pPr>
      <w:ind w:firstLine="420" w:firstLineChars="200"/>
    </w:pPr>
    <w:rPr>
      <w:rFonts w:ascii="Times New Roman" w:hAnsi="Times New Roman" w:eastAsia="宋体" w:cs="Times New Roman"/>
      <w:szCs w:val="24"/>
    </w:rPr>
  </w:style>
  <w:style w:type="character" w:customStyle="1" w:styleId="12">
    <w:name w:val="标题 Char"/>
    <w:link w:val="8"/>
    <w:qFormat/>
    <w:uiPriority w:val="0"/>
    <w:rPr>
      <w:rFonts w:ascii="Arial" w:hAnsi="Arial" w:eastAsia="黑体"/>
      <w:b/>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2022-01-05T08:35:00Z</dcterms:created>
  <dc:creator>Administrator</dc:creator>
  <cp:lastModifiedBy>Administrator</cp:lastModifiedBy>
  <dcterms:modified xsi:type="dcterms:W3CDTF">2022-01-05T08:35:46Z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E1B82C977FA64488A3AD54A2D821158D</vt:lpwstr>
  </property>
</Properties>
</file>