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b/>
          <w:sz w:val="36"/>
          <w:szCs w:val="36"/>
        </w:rPr>
      </w:pPr>
      <w:bookmarkStart w:id="0" w:name="_Toc531859199"/>
      <w:bookmarkStart w:id="1" w:name="_Toc533720420"/>
      <w:bookmarkStart w:id="2" w:name="_Toc29704"/>
      <w:bookmarkStart w:id="3" w:name="_Toc524882209"/>
      <w:bookmarkStart w:id="4" w:name="_Toc517965191"/>
      <w:bookmarkStart w:id="5" w:name="_Toc531701499"/>
      <w:bookmarkStart w:id="6" w:name="_Toc531701372"/>
      <w:r>
        <w:rPr>
          <w:rFonts w:ascii="宋体" w:hAnsi="宋体"/>
          <w:b/>
          <w:sz w:val="36"/>
          <w:szCs w:val="36"/>
        </w:rPr>
        <w:t>附 录</w:t>
      </w:r>
      <w:r>
        <w:rPr>
          <w:rFonts w:hint="eastAsia" w:ascii="宋体" w:hAnsi="宋体"/>
          <w:b/>
          <w:sz w:val="36"/>
          <w:szCs w:val="36"/>
        </w:rPr>
        <w:t>：</w:t>
      </w:r>
      <w:bookmarkEnd w:id="0"/>
      <w:bookmarkEnd w:id="1"/>
      <w:bookmarkEnd w:id="2"/>
      <w:bookmarkStart w:id="7" w:name="_Toc533720421"/>
      <w:bookmarkStart w:id="8" w:name="_Toc531859200"/>
      <w:bookmarkStart w:id="9" w:name="_Toc25298"/>
    </w:p>
    <w:p>
      <w:pPr>
        <w:pStyle w:val="2"/>
        <w:ind w:left="0" w:leftChars="0" w:firstLine="0" w:firstLineChars="0"/>
        <w:rPr>
          <w:rFonts w:hint="eastAsia" w:ascii="宋体" w:hAnsi="宋体"/>
          <w:b/>
        </w:rPr>
      </w:pPr>
      <w:r>
        <w:rPr>
          <w:rFonts w:hint="eastAsia" w:ascii="宋体" w:hAnsi="宋体" w:cs="宋体"/>
          <w:iCs/>
        </w:rPr>
        <w:t>附录1  资格审查条件(资质最低要求)</w:t>
      </w:r>
      <w:bookmarkEnd w:id="7"/>
      <w:bookmarkEnd w:id="8"/>
      <w:bookmarkEnd w:id="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宋体" w:hAnsi="宋体"/>
              </w:rPr>
            </w:pPr>
            <w:r>
              <w:rPr>
                <w:rFonts w:ascii="宋体" w:hAnsi="宋体"/>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8283" w:type="dxa"/>
            <w:noWrap w:val="0"/>
            <w:vAlign w:val="center"/>
          </w:tcPr>
          <w:p>
            <w:pPr>
              <w:adjustRightInd w:val="0"/>
              <w:snapToGrid w:val="0"/>
              <w:spacing w:line="400" w:lineRule="atLeast"/>
              <w:jc w:val="left"/>
              <w:rPr>
                <w:rFonts w:ascii="宋体" w:hAnsi="宋体"/>
              </w:rPr>
            </w:pPr>
            <w:r>
              <w:rPr>
                <w:rFonts w:hint="eastAsia" w:ascii="宋体" w:hAnsi="宋体" w:eastAsia="宋体" w:cs="宋体"/>
                <w:b w:val="0"/>
                <w:bCs w:val="0"/>
                <w:i w:val="0"/>
                <w:iCs w:val="0"/>
                <w:color w:val="auto"/>
                <w:sz w:val="22"/>
                <w:szCs w:val="22"/>
                <w:highlight w:val="none"/>
              </w:rPr>
              <w:t>须具备湖北省高速公路实业开发有限公司协作单位资源库</w:t>
            </w:r>
            <w:r>
              <w:rPr>
                <w:rFonts w:hint="eastAsia" w:ascii="宋体" w:hAnsi="宋体" w:eastAsia="宋体" w:cs="宋体"/>
                <w:b/>
                <w:bCs/>
                <w:i w:val="0"/>
                <w:iCs w:val="0"/>
                <w:color w:val="auto"/>
                <w:kern w:val="1"/>
                <w:sz w:val="22"/>
                <w:szCs w:val="22"/>
                <w:highlight w:val="none"/>
              </w:rPr>
              <w:t>GK-3(</w:t>
            </w:r>
            <w:r>
              <w:rPr>
                <w:rFonts w:hint="eastAsia" w:ascii="宋体" w:hAnsi="宋体" w:eastAsia="宋体" w:cs="宋体"/>
                <w:b/>
                <w:bCs/>
                <w:i w:val="0"/>
                <w:iCs w:val="0"/>
                <w:color w:val="auto"/>
                <w:kern w:val="1"/>
                <w:sz w:val="22"/>
                <w:szCs w:val="22"/>
                <w:highlight w:val="none"/>
                <w:lang w:eastAsia="zh-CN"/>
              </w:rPr>
              <w:t>桥涵专项</w:t>
            </w:r>
            <w:r>
              <w:rPr>
                <w:rFonts w:hint="eastAsia" w:ascii="宋体" w:hAnsi="宋体" w:eastAsia="宋体" w:cs="宋体"/>
                <w:b/>
                <w:bCs/>
                <w:i w:val="0"/>
                <w:iCs w:val="0"/>
                <w:color w:val="auto"/>
                <w:kern w:val="1"/>
                <w:sz w:val="22"/>
                <w:szCs w:val="22"/>
                <w:highlight w:val="none"/>
              </w:rPr>
              <w:t>）</w:t>
            </w:r>
            <w:r>
              <w:rPr>
                <w:rFonts w:hint="eastAsia" w:ascii="宋体" w:hAnsi="宋体" w:eastAsia="宋体" w:cs="宋体"/>
                <w:b/>
                <w:bCs/>
                <w:i w:val="0"/>
                <w:iCs w:val="0"/>
                <w:color w:val="auto"/>
                <w:kern w:val="1"/>
                <w:sz w:val="22"/>
                <w:szCs w:val="22"/>
                <w:highlight w:val="none"/>
                <w:lang w:eastAsia="zh-CN"/>
              </w:rPr>
              <w:t>或</w:t>
            </w:r>
            <w:r>
              <w:rPr>
                <w:rFonts w:hint="eastAsia" w:ascii="宋体" w:hAnsi="宋体" w:eastAsia="宋体" w:cs="宋体"/>
                <w:b/>
                <w:bCs/>
                <w:i w:val="0"/>
                <w:iCs w:val="0"/>
                <w:color w:val="auto"/>
                <w:kern w:val="1"/>
                <w:sz w:val="22"/>
                <w:szCs w:val="22"/>
                <w:highlight w:val="none"/>
              </w:rPr>
              <w:t>GK-</w:t>
            </w:r>
            <w:r>
              <w:rPr>
                <w:rFonts w:hint="eastAsia" w:ascii="宋体" w:hAnsi="宋体" w:eastAsia="宋体" w:cs="宋体"/>
                <w:b/>
                <w:bCs/>
                <w:i w:val="0"/>
                <w:iCs w:val="0"/>
                <w:color w:val="auto"/>
                <w:kern w:val="1"/>
                <w:sz w:val="22"/>
                <w:szCs w:val="22"/>
                <w:highlight w:val="none"/>
                <w:lang w:val="en-US" w:eastAsia="zh-CN"/>
              </w:rPr>
              <w:t>4</w:t>
            </w:r>
            <w:r>
              <w:rPr>
                <w:rFonts w:hint="eastAsia" w:ascii="宋体" w:hAnsi="宋体" w:eastAsia="宋体" w:cs="宋体"/>
                <w:b/>
                <w:bCs/>
                <w:i w:val="0"/>
                <w:iCs w:val="0"/>
                <w:color w:val="auto"/>
                <w:kern w:val="1"/>
                <w:sz w:val="22"/>
                <w:szCs w:val="22"/>
                <w:highlight w:val="none"/>
              </w:rPr>
              <w:t>(</w:t>
            </w:r>
            <w:r>
              <w:rPr>
                <w:rFonts w:hint="eastAsia" w:ascii="宋体" w:hAnsi="宋体" w:eastAsia="宋体" w:cs="宋体"/>
                <w:b/>
                <w:bCs/>
                <w:i w:val="0"/>
                <w:iCs w:val="0"/>
                <w:color w:val="auto"/>
                <w:kern w:val="1"/>
                <w:sz w:val="22"/>
                <w:szCs w:val="22"/>
                <w:highlight w:val="none"/>
                <w:lang w:eastAsia="zh-CN"/>
              </w:rPr>
              <w:t>隧道专项</w:t>
            </w:r>
            <w:r>
              <w:rPr>
                <w:rFonts w:hint="eastAsia" w:ascii="宋体" w:hAnsi="宋体" w:eastAsia="宋体" w:cs="宋体"/>
                <w:b/>
                <w:bCs/>
                <w:i w:val="0"/>
                <w:iCs w:val="0"/>
                <w:color w:val="auto"/>
                <w:kern w:val="1"/>
                <w:sz w:val="22"/>
                <w:szCs w:val="22"/>
                <w:highlight w:val="none"/>
              </w:rPr>
              <w:t>）</w:t>
            </w:r>
            <w:r>
              <w:rPr>
                <w:rFonts w:hint="eastAsia" w:ascii="宋体" w:hAnsi="宋体" w:eastAsia="宋体" w:cs="宋体"/>
                <w:b w:val="0"/>
                <w:bCs w:val="0"/>
                <w:i w:val="0"/>
                <w:iCs w:val="0"/>
                <w:color w:val="auto"/>
                <w:sz w:val="22"/>
                <w:szCs w:val="22"/>
                <w:highlight w:val="none"/>
              </w:rPr>
              <w:t>协作单位</w:t>
            </w:r>
            <w:r>
              <w:rPr>
                <w:rFonts w:hint="eastAsia" w:ascii="宋体" w:hAnsi="宋体" w:eastAsia="宋体" w:cs="宋体"/>
                <w:b w:val="0"/>
                <w:bCs w:val="0"/>
                <w:i w:val="0"/>
                <w:iCs w:val="0"/>
                <w:color w:val="auto"/>
                <w:sz w:val="22"/>
                <w:szCs w:val="22"/>
                <w:highlight w:val="none"/>
                <w:lang w:eastAsia="zh-CN"/>
              </w:rPr>
              <w:t>。</w:t>
            </w:r>
          </w:p>
        </w:tc>
      </w:tr>
    </w:tbl>
    <w:p>
      <w:pPr>
        <w:rPr>
          <w:rFonts w:hint="eastAsia"/>
        </w:rPr>
      </w:pPr>
      <w:bookmarkStart w:id="10" w:name="_Toc10241"/>
      <w:bookmarkStart w:id="11" w:name="_Toc531859203"/>
      <w:bookmarkStart w:id="12" w:name="_Toc533720424"/>
    </w:p>
    <w:p>
      <w:pPr>
        <w:pStyle w:val="4"/>
        <w:rPr>
          <w:rFonts w:hint="eastAsia" w:ascii="宋体" w:hAnsi="宋体" w:cs="宋体"/>
          <w:b w:val="0"/>
          <w:bCs w:val="0"/>
          <w:iCs/>
          <w:sz w:val="24"/>
          <w:szCs w:val="24"/>
        </w:rPr>
      </w:pPr>
      <w:r>
        <w:rPr>
          <w:rFonts w:hint="eastAsia" w:ascii="宋体" w:hAnsi="宋体" w:cs="宋体"/>
          <w:b w:val="0"/>
          <w:bCs w:val="0"/>
          <w:iCs/>
          <w:sz w:val="24"/>
          <w:szCs w:val="24"/>
        </w:rPr>
        <w:t>附录2  资格审查条件(信誉最低要求)</w:t>
      </w:r>
    </w:p>
    <w:bookmarkEnd w:id="10"/>
    <w:bookmarkEnd w:id="11"/>
    <w:bookmarkEnd w:id="12"/>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350" w:type="dxa"/>
            <w:noWrap w:val="0"/>
            <w:vAlign w:val="center"/>
          </w:tcPr>
          <w:p>
            <w:pPr>
              <w:adjustRightInd w:val="0"/>
              <w:snapToGrid w:val="0"/>
              <w:spacing w:line="400" w:lineRule="atLeast"/>
              <w:jc w:val="center"/>
              <w:rPr>
                <w:rFonts w:ascii="宋体" w:hAnsi="宋体"/>
              </w:rPr>
            </w:pPr>
            <w:r>
              <w:rPr>
                <w:rFonts w:ascii="宋体" w:hAnsi="宋体"/>
              </w:rPr>
              <w:t>施工企业</w:t>
            </w:r>
            <w:r>
              <w:rPr>
                <w:rFonts w:hint="eastAsia" w:ascii="宋体" w:hAnsi="宋体"/>
              </w:rPr>
              <w:t>信誉</w:t>
            </w:r>
            <w:r>
              <w:rPr>
                <w:rFonts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8350" w:type="dxa"/>
            <w:noWrap w:val="0"/>
            <w:vAlign w:val="center"/>
          </w:tcPr>
          <w:p>
            <w:pPr>
              <w:spacing w:line="400" w:lineRule="atLeast"/>
              <w:rPr>
                <w:rFonts w:hint="eastAsia" w:ascii="宋体" w:hAnsi="宋体" w:cs="宋体"/>
              </w:rPr>
            </w:pPr>
            <w:r>
              <w:rPr>
                <w:rFonts w:hint="eastAsia" w:ascii="宋体" w:hAnsi="宋体" w:cs="宋体"/>
              </w:rPr>
              <w:t>报价人（包括联合体各成员）不得存在下列不良状况或不良信用记录：</w:t>
            </w:r>
          </w:p>
          <w:p>
            <w:pPr>
              <w:spacing w:line="400" w:lineRule="atLeast"/>
              <w:rPr>
                <w:rFonts w:hint="eastAsia" w:ascii="宋体" w:hAnsi="宋体" w:cs="宋体"/>
              </w:rPr>
            </w:pPr>
            <w:r>
              <w:rPr>
                <w:rFonts w:hint="eastAsia" w:ascii="宋体" w:hAnsi="宋体" w:cs="宋体"/>
              </w:rPr>
              <w:t>（1）被省级及以上交通运输主管部门取消采购项目所在地的投标资格且处于有效期内；</w:t>
            </w:r>
          </w:p>
          <w:p>
            <w:pPr>
              <w:spacing w:line="400" w:lineRule="atLeast"/>
              <w:rPr>
                <w:rFonts w:hint="eastAsia" w:ascii="宋体" w:hAnsi="宋体" w:cs="宋体"/>
              </w:rPr>
            </w:pPr>
            <w:r>
              <w:rPr>
                <w:rFonts w:hint="eastAsia" w:ascii="宋体" w:hAnsi="宋体" w:cs="宋体"/>
              </w:rPr>
              <w:t>（2）被责令停业，暂扣或吊销执照，或吊销资质证书；</w:t>
            </w:r>
          </w:p>
          <w:p>
            <w:pPr>
              <w:spacing w:line="400" w:lineRule="atLeast"/>
              <w:rPr>
                <w:rFonts w:hint="eastAsia" w:ascii="宋体" w:hAnsi="宋体" w:cs="宋体"/>
              </w:rPr>
            </w:pPr>
            <w:r>
              <w:rPr>
                <w:rFonts w:hint="eastAsia" w:ascii="宋体" w:hAnsi="宋体" w:cs="宋体"/>
              </w:rPr>
              <w:t>（3）进入清算程序，或被宣告破产，或其他丧失履约能力的情形；</w:t>
            </w:r>
          </w:p>
          <w:p>
            <w:pPr>
              <w:spacing w:line="400" w:lineRule="atLeast"/>
              <w:rPr>
                <w:rFonts w:hint="eastAsia" w:ascii="宋体" w:hAnsi="宋体" w:cs="宋体"/>
              </w:rPr>
            </w:pPr>
            <w:r>
              <w:rPr>
                <w:rFonts w:hint="eastAsia" w:ascii="宋体" w:hAnsi="宋体" w:cs="宋体"/>
              </w:rPr>
              <w:t>（4）在国家企业信用信息公示系统（http://www.gsxt.gov.cn/）中被列入严重违法失信企业名单；</w:t>
            </w:r>
          </w:p>
          <w:p>
            <w:pPr>
              <w:spacing w:line="400" w:lineRule="atLeast"/>
              <w:rPr>
                <w:rFonts w:hint="eastAsia" w:ascii="宋体" w:hAnsi="宋体" w:cs="宋体"/>
              </w:rPr>
            </w:pPr>
            <w:r>
              <w:rPr>
                <w:rFonts w:hint="eastAsia" w:ascii="宋体" w:hAnsi="宋体" w:cs="宋体"/>
              </w:rPr>
              <w:t>（5）在“信用中国”网站（http://www.creditchina.gov.cn/）中被列入失信被执行人名单；</w:t>
            </w:r>
          </w:p>
          <w:p>
            <w:pPr>
              <w:spacing w:line="400" w:lineRule="atLeast"/>
              <w:rPr>
                <w:rFonts w:hint="eastAsia" w:ascii="宋体" w:hAnsi="宋体" w:cs="宋体"/>
              </w:rPr>
            </w:pPr>
            <w:r>
              <w:rPr>
                <w:rFonts w:hint="eastAsia" w:ascii="宋体" w:hAnsi="宋体" w:cs="宋体"/>
              </w:rPr>
              <w:t>（6）报价人或其法定代表人在近三年内有行贿犯罪行为的；</w:t>
            </w:r>
          </w:p>
          <w:p>
            <w:pPr>
              <w:pStyle w:val="2"/>
              <w:ind w:left="0" w:leftChars="0" w:firstLine="0" w:firstLineChars="0"/>
              <w:rPr>
                <w:rFonts w:hint="eastAsia"/>
              </w:rPr>
            </w:pPr>
            <w:r>
              <w:rPr>
                <w:rFonts w:hint="eastAsia"/>
              </w:rPr>
              <w:t>（7）</w:t>
            </w:r>
            <w:r>
              <w:rPr>
                <w:rFonts w:hint="eastAsia" w:ascii="宋体" w:hAnsi="宋体" w:cs="宋体"/>
              </w:rPr>
              <w:t>报价人在</w:t>
            </w:r>
            <w:r>
              <w:t>湖北省交通厅的信用等级</w:t>
            </w:r>
            <w:r>
              <w:rPr>
                <w:rFonts w:hint="eastAsia"/>
              </w:rPr>
              <w:t>近三年内被评</w:t>
            </w:r>
            <w:r>
              <w:t>为D级</w:t>
            </w:r>
            <w:r>
              <w:rPr>
                <w:rFonts w:hint="eastAsia"/>
              </w:rPr>
              <w:t>的；</w:t>
            </w:r>
          </w:p>
          <w:p>
            <w:pPr>
              <w:spacing w:line="400" w:lineRule="atLeast"/>
              <w:jc w:val="left"/>
              <w:rPr>
                <w:rFonts w:ascii="宋体" w:hAnsi="宋体"/>
              </w:rPr>
            </w:pPr>
            <w:r>
              <w:rPr>
                <w:rFonts w:hint="eastAsia" w:ascii="宋体" w:hAnsi="宋体" w:cs="宋体"/>
              </w:rPr>
              <w:t>（8）法律法规或报价人须知前附表规定的其他情形。</w:t>
            </w:r>
          </w:p>
        </w:tc>
      </w:tr>
    </w:tbl>
    <w:p>
      <w:pPr>
        <w:widowControl/>
        <w:jc w:val="left"/>
        <w:rPr>
          <w:rFonts w:hint="eastAsia" w:ascii="宋体" w:hAnsi="宋体"/>
        </w:rPr>
      </w:pPr>
      <w:r>
        <w:rPr>
          <w:rFonts w:hint="eastAsia" w:ascii="宋体" w:hAnsi="宋体"/>
        </w:rPr>
        <w:t>注：</w:t>
      </w:r>
      <w:r>
        <w:rPr>
          <w:rFonts w:hint="eastAsia" w:ascii="宋体" w:hAnsi="宋体" w:cs="宋体"/>
          <w:color w:val="000000"/>
          <w:kern w:val="0"/>
          <w:u w:val="single"/>
          <w:lang w:bidi="ar"/>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hint="eastAsia" w:ascii="宋体" w:hAnsi="宋体" w:cs="黑体"/>
          <w:color w:val="000000"/>
          <w:kern w:val="0"/>
          <w:lang w:bidi="ar"/>
        </w:rPr>
        <w:t>。</w:t>
      </w:r>
    </w:p>
    <w:p>
      <w:pPr>
        <w:pStyle w:val="10"/>
        <w:ind w:left="0" w:leftChars="0" w:firstLine="0" w:firstLineChars="0"/>
        <w:rPr>
          <w:rFonts w:hint="eastAsia" w:ascii="宋体" w:hAnsi="宋体" w:cs="宋体"/>
          <w:iCs/>
          <w:kern w:val="0"/>
        </w:rPr>
      </w:pPr>
      <w:bookmarkStart w:id="13" w:name="_Toc739"/>
      <w:bookmarkStart w:id="14" w:name="_Toc533720426"/>
    </w:p>
    <w:p>
      <w:pPr>
        <w:pStyle w:val="4"/>
        <w:rPr>
          <w:rFonts w:hint="eastAsia" w:ascii="Times New Roman" w:hAnsi="Times New Roman" w:eastAsia="宋体" w:cs="Times New Roman"/>
          <w:b/>
          <w:bCs/>
          <w:iCs/>
          <w:sz w:val="24"/>
          <w:szCs w:val="24"/>
        </w:rPr>
      </w:pPr>
      <w:bookmarkStart w:id="15" w:name="_Toc24881"/>
    </w:p>
    <w:p>
      <w:pPr>
        <w:rPr>
          <w:rFonts w:hint="eastAsia"/>
        </w:rPr>
      </w:pPr>
    </w:p>
    <w:p>
      <w:pPr>
        <w:pStyle w:val="4"/>
        <w:rPr>
          <w:rFonts w:hint="eastAsia" w:ascii="Times New Roman" w:hAnsi="Times New Roman" w:eastAsia="宋体" w:cs="Times New Roman"/>
          <w:b/>
          <w:bCs/>
          <w:iCs/>
          <w:sz w:val="24"/>
          <w:szCs w:val="24"/>
        </w:rPr>
      </w:pPr>
      <w:r>
        <w:rPr>
          <w:rFonts w:hint="eastAsia" w:ascii="Times New Roman" w:hAnsi="Times New Roman" w:eastAsia="宋体" w:cs="Times New Roman"/>
          <w:b/>
          <w:bCs/>
          <w:iCs/>
          <w:sz w:val="24"/>
          <w:szCs w:val="24"/>
        </w:rPr>
        <w:t>附录</w:t>
      </w:r>
      <w:r>
        <w:rPr>
          <w:rFonts w:hint="eastAsia" w:ascii="Times New Roman" w:hAnsi="Times New Roman" w:eastAsia="宋体" w:cs="Times New Roman"/>
          <w:b/>
          <w:bCs/>
          <w:iCs/>
          <w:sz w:val="24"/>
          <w:szCs w:val="24"/>
          <w:lang w:val="en-US" w:eastAsia="zh-CN"/>
        </w:rPr>
        <w:t>3</w:t>
      </w:r>
      <w:r>
        <w:rPr>
          <w:rFonts w:hint="eastAsia" w:ascii="Times New Roman" w:hAnsi="Times New Roman" w:eastAsia="宋体" w:cs="Times New Roman"/>
          <w:b/>
          <w:bCs/>
          <w:iCs/>
          <w:sz w:val="24"/>
          <w:szCs w:val="24"/>
        </w:rPr>
        <w:t xml:space="preserve">  资格审查条件(财务最低要求)</w:t>
      </w:r>
      <w:bookmarkEnd w:id="15"/>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cs="宋体"/>
                <w:bCs/>
              </w:rPr>
            </w:pPr>
            <w:r>
              <w:rPr>
                <w:rFonts w:hint="eastAsia" w:ascii="宋体" w:hAnsi="宋体" w:cs="宋体"/>
                <w:bCs/>
              </w:rPr>
              <w:t>标段号</w:t>
            </w:r>
          </w:p>
        </w:tc>
        <w:tc>
          <w:tcPr>
            <w:tcW w:w="7054" w:type="dxa"/>
            <w:noWrap w:val="0"/>
            <w:vAlign w:val="center"/>
          </w:tcPr>
          <w:p>
            <w:pPr>
              <w:jc w:val="center"/>
              <w:rPr>
                <w:rFonts w:hint="eastAsia" w:ascii="宋体" w:hAnsi="宋体" w:cs="宋体"/>
                <w:bCs/>
              </w:rPr>
            </w:pPr>
            <w:r>
              <w:rPr>
                <w:rFonts w:hint="eastAsia" w:ascii="宋体" w:hAnsi="宋体" w:cs="宋体"/>
                <w:bCs/>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cs="宋体"/>
                <w:sz w:val="21"/>
                <w:szCs w:val="21"/>
              </w:rPr>
            </w:pPr>
            <w:r>
              <w:rPr>
                <w:rFonts w:hint="eastAsia"/>
              </w:rPr>
              <w:t>所有标段</w:t>
            </w:r>
          </w:p>
        </w:tc>
        <w:tc>
          <w:tcPr>
            <w:tcW w:w="7054" w:type="dxa"/>
            <w:noWrap w:val="0"/>
            <w:vAlign w:val="center"/>
          </w:tcPr>
          <w:p>
            <w:pPr>
              <w:widowControl/>
              <w:spacing w:line="240" w:lineRule="auto"/>
              <w:rPr>
                <w:rFonts w:hint="eastAsia"/>
                <w:szCs w:val="22"/>
              </w:rPr>
            </w:pPr>
            <w:r>
              <w:rPr>
                <w:rFonts w:hint="eastAsia"/>
                <w:szCs w:val="22"/>
              </w:rPr>
              <w:t>第一种方式</w:t>
            </w:r>
          </w:p>
          <w:p>
            <w:pPr>
              <w:widowControl/>
              <w:spacing w:line="240" w:lineRule="auto"/>
              <w:rPr>
                <w:rFonts w:hint="eastAsia"/>
                <w:szCs w:val="22"/>
              </w:rPr>
            </w:pPr>
            <w:r>
              <w:rPr>
                <w:rFonts w:hint="eastAsia"/>
                <w:szCs w:val="22"/>
              </w:rPr>
              <w:t>2020年的营业收入不少于500万元。</w:t>
            </w:r>
          </w:p>
          <w:p>
            <w:pPr>
              <w:widowControl/>
              <w:spacing w:line="240" w:lineRule="auto"/>
              <w:rPr>
                <w:rFonts w:hint="eastAsia"/>
                <w:szCs w:val="22"/>
              </w:rPr>
            </w:pPr>
          </w:p>
          <w:p>
            <w:pPr>
              <w:widowControl/>
              <w:spacing w:line="240" w:lineRule="auto"/>
              <w:rPr>
                <w:rFonts w:hint="eastAsia"/>
                <w:szCs w:val="22"/>
              </w:rPr>
            </w:pPr>
            <w:r>
              <w:rPr>
                <w:rFonts w:hint="eastAsia"/>
                <w:szCs w:val="22"/>
              </w:rPr>
              <w:t>第二种方式</w:t>
            </w:r>
          </w:p>
          <w:p>
            <w:pPr>
              <w:pStyle w:val="7"/>
              <w:ind w:firstLine="0" w:firstLineChars="0"/>
            </w:pPr>
            <w:r>
              <w:rPr>
                <w:rFonts w:hint="eastAsia"/>
                <w:szCs w:val="22"/>
              </w:rPr>
              <w:t>由银行出具</w:t>
            </w:r>
            <w:r>
              <w:rPr>
                <w:rFonts w:hint="eastAsia"/>
                <w:b/>
                <w:bCs/>
                <w:szCs w:val="22"/>
              </w:rPr>
              <w:t>（须有银行盖章）</w:t>
            </w:r>
            <w:r>
              <w:rPr>
                <w:rFonts w:hint="eastAsia"/>
                <w:szCs w:val="22"/>
              </w:rPr>
              <w:t>申请日前3个月内（2021年</w:t>
            </w:r>
            <w:r>
              <w:rPr>
                <w:rFonts w:hint="eastAsia"/>
                <w:szCs w:val="22"/>
                <w:lang w:val="en-US" w:eastAsia="zh-CN"/>
              </w:rPr>
              <w:t>6</w:t>
            </w:r>
            <w:r>
              <w:rPr>
                <w:rFonts w:hint="eastAsia"/>
                <w:szCs w:val="22"/>
              </w:rPr>
              <w:t>月、2021年</w:t>
            </w:r>
            <w:r>
              <w:rPr>
                <w:rFonts w:hint="eastAsia"/>
                <w:szCs w:val="22"/>
                <w:lang w:val="en-US" w:eastAsia="zh-CN"/>
              </w:rPr>
              <w:t>7</w:t>
            </w:r>
            <w:r>
              <w:rPr>
                <w:rFonts w:hint="eastAsia"/>
                <w:szCs w:val="22"/>
              </w:rPr>
              <w:t>月、2021年</w:t>
            </w:r>
            <w:r>
              <w:rPr>
                <w:rFonts w:hint="eastAsia"/>
                <w:szCs w:val="22"/>
                <w:lang w:val="en-US" w:eastAsia="zh-CN"/>
              </w:rPr>
              <w:t>8</w:t>
            </w:r>
            <w:r>
              <w:rPr>
                <w:rFonts w:hint="eastAsia"/>
                <w:szCs w:val="22"/>
              </w:rPr>
              <w:t>月）的单位账户流水证明，每月</w:t>
            </w:r>
            <w:r>
              <w:rPr>
                <w:rFonts w:hint="eastAsia"/>
                <w:b/>
                <w:bCs/>
                <w:szCs w:val="22"/>
              </w:rPr>
              <w:t>月末</w:t>
            </w:r>
            <w:r>
              <w:rPr>
                <w:rFonts w:hint="eastAsia"/>
                <w:szCs w:val="22"/>
              </w:rPr>
              <w:t>账户余额的平均值</w:t>
            </w:r>
            <w:r>
              <w:rPr>
                <w:rFonts w:hint="eastAsia"/>
              </w:rPr>
              <w:t>不少于50万元。</w:t>
            </w:r>
          </w:p>
          <w:p>
            <w:pPr>
              <w:jc w:val="left"/>
              <w:rPr>
                <w:rFonts w:hint="eastAsia"/>
              </w:rPr>
            </w:pPr>
            <w:r>
              <w:rPr>
                <w:rFonts w:hint="eastAsia"/>
                <w:b/>
                <w:bCs/>
                <w:szCs w:val="22"/>
              </w:rPr>
              <w:t>上述两种方式满足其中一种即可，无银行公章的流水证明按无效投标处理。</w:t>
            </w:r>
          </w:p>
        </w:tc>
      </w:tr>
    </w:tbl>
    <w:p>
      <w:pPr>
        <w:pStyle w:val="3"/>
        <w:spacing w:after="0" w:afterLines="0" w:line="400" w:lineRule="atLeast"/>
        <w:ind w:left="600" w:leftChars="100" w:hanging="360" w:hangingChars="200"/>
        <w:rPr>
          <w:rFonts w:hint="eastAsia" w:ascii="宋体" w:hAnsi="宋体" w:cs="宋体"/>
          <w:sz w:val="18"/>
          <w:szCs w:val="18"/>
        </w:rPr>
      </w:pPr>
      <w:r>
        <w:rPr>
          <w:rFonts w:hint="eastAsia" w:ascii="宋体" w:hAnsi="宋体" w:cs="宋体"/>
          <w:sz w:val="18"/>
          <w:szCs w:val="18"/>
        </w:rPr>
        <w:t>注：1.采用第一种方式应附经会计师事务所或审计机构审计的财务会计报表，包括资产负债表、现金流量表、利润表和财务情况说明书的复印件；公司成立时间不足一年的提供自公司成立以来的会计报表。</w:t>
      </w:r>
    </w:p>
    <w:p>
      <w:pPr>
        <w:pStyle w:val="3"/>
        <w:spacing w:after="0" w:afterLines="0" w:line="400" w:lineRule="atLeast"/>
        <w:ind w:left="600" w:leftChars="100" w:hanging="360" w:hangingChars="200"/>
        <w:rPr>
          <w:rFonts w:hint="eastAsia" w:ascii="宋体" w:hAnsi="宋体" w:cs="宋体"/>
          <w:sz w:val="18"/>
          <w:szCs w:val="18"/>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cs="宋体"/>
          <w:sz w:val="18"/>
          <w:szCs w:val="18"/>
        </w:rPr>
        <w:t xml:space="preserve">     2.采用第二种方式应附银行出具（须有银行盖章）申请日前3个月内的单位账户流水证明。</w:t>
      </w:r>
    </w:p>
    <w:p>
      <w:pPr>
        <w:pStyle w:val="10"/>
        <w:ind w:left="0" w:leftChars="0" w:firstLine="0" w:firstLineChars="0"/>
        <w:rPr>
          <w:rFonts w:hint="eastAsia" w:ascii="宋体" w:hAnsi="宋体" w:cs="宋体"/>
          <w:iCs/>
          <w:kern w:val="0"/>
        </w:rPr>
      </w:pPr>
      <w:r>
        <w:rPr>
          <w:rFonts w:hint="eastAsia" w:ascii="宋体" w:hAnsi="宋体" w:cs="宋体"/>
          <w:iCs/>
          <w:kern w:val="0"/>
        </w:rPr>
        <w:t>附录</w:t>
      </w:r>
      <w:r>
        <w:rPr>
          <w:rFonts w:hint="eastAsia" w:ascii="宋体" w:hAnsi="宋体" w:cs="宋体"/>
          <w:iCs/>
          <w:kern w:val="0"/>
          <w:lang w:val="en-US" w:eastAsia="zh-CN"/>
        </w:rPr>
        <w:t>4</w:t>
      </w:r>
      <w:r>
        <w:rPr>
          <w:rFonts w:hint="eastAsia" w:ascii="宋体" w:hAnsi="宋体" w:cs="宋体"/>
          <w:iCs/>
          <w:kern w:val="0"/>
        </w:rPr>
        <w:t xml:space="preserve">  资格审查条件(其他管理和技术人员最低要求)</w:t>
      </w:r>
      <w:bookmarkEnd w:id="13"/>
      <w:bookmarkEnd w:id="14"/>
    </w:p>
    <w:tbl>
      <w:tblPr>
        <w:tblStyle w:val="8"/>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479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人  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资 格 要 求</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kern w:val="1"/>
              </w:rPr>
            </w:pPr>
            <w:r>
              <w:rPr>
                <w:rFonts w:hint="eastAsia" w:ascii="宋体" w:hAnsi="宋体" w:cs="宋体"/>
                <w:b/>
                <w:kern w:val="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1"/>
                <w:lang w:eastAsia="zh-CN"/>
              </w:rPr>
            </w:pPr>
            <w:r>
              <w:rPr>
                <w:rFonts w:hint="eastAsia" w:ascii="宋体" w:hAnsi="宋体" w:eastAsia="宋体" w:cs="宋体"/>
                <w:i w:val="0"/>
                <w:iCs w:val="0"/>
                <w:color w:val="auto"/>
                <w:sz w:val="22"/>
                <w:szCs w:val="22"/>
                <w:highlight w:val="none"/>
              </w:rPr>
              <w:t>项目负责人</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宋体" w:cs="宋体"/>
                <w:kern w:val="1"/>
              </w:rPr>
            </w:pPr>
            <w:r>
              <w:rPr>
                <w:rFonts w:hint="eastAsia" w:ascii="宋体" w:hAnsi="宋体" w:eastAsia="宋体" w:cs="宋体"/>
                <w:i w:val="0"/>
                <w:iCs w:val="0"/>
                <w:color w:val="auto"/>
                <w:kern w:val="1"/>
                <w:sz w:val="22"/>
                <w:szCs w:val="22"/>
                <w:highlight w:val="none"/>
              </w:rPr>
              <w:t>具有中级及以上技术职称，高速公路施工从业年限不低于6年,</w:t>
            </w:r>
            <w:r>
              <w:rPr>
                <w:rFonts w:hint="eastAsia" w:ascii="宋体" w:hAnsi="宋体" w:eastAsia="宋体" w:cs="宋体"/>
                <w:i w:val="0"/>
                <w:iCs w:val="0"/>
                <w:color w:val="auto"/>
                <w:sz w:val="22"/>
                <w:szCs w:val="22"/>
                <w:highlight w:val="none"/>
              </w:rPr>
              <w:t>近3年内曾担任过一个类似项目负责人</w:t>
            </w:r>
            <w:r>
              <w:rPr>
                <w:rFonts w:hint="eastAsia" w:ascii="宋体" w:hAnsi="宋体" w:eastAsia="宋体" w:cs="宋体"/>
                <w:i w:val="0"/>
                <w:iCs w:val="0"/>
                <w:color w:val="auto"/>
                <w:kern w:val="1"/>
                <w:sz w:val="22"/>
                <w:szCs w:val="22"/>
                <w:highlight w:val="none"/>
              </w:rPr>
              <w:t>，年龄为55岁以下。</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1"/>
              </w:rPr>
            </w:pPr>
            <w:r>
              <w:rPr>
                <w:rFonts w:hint="eastAsia" w:ascii="宋体" w:hAnsi="宋体" w:eastAsia="宋体" w:cs="宋体"/>
                <w:i w:val="0"/>
                <w:iCs w:val="0"/>
                <w:color w:val="auto"/>
                <w:kern w:val="0"/>
                <w:sz w:val="22"/>
                <w:szCs w:val="22"/>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宋体" w:cs="宋体"/>
                <w:kern w:val="1"/>
              </w:rPr>
            </w:pPr>
            <w:r>
              <w:rPr>
                <w:rFonts w:hint="eastAsia" w:ascii="宋体" w:hAnsi="宋体" w:eastAsia="宋体" w:cs="宋体"/>
                <w:i w:val="0"/>
                <w:iCs w:val="0"/>
                <w:color w:val="auto"/>
                <w:sz w:val="22"/>
                <w:szCs w:val="22"/>
                <w:highlight w:val="none"/>
              </w:rPr>
              <w:t>安全员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宋体" w:cs="宋体"/>
                <w:kern w:val="1"/>
              </w:rPr>
            </w:pPr>
            <w:r>
              <w:rPr>
                <w:rFonts w:hint="eastAsia" w:ascii="宋体" w:hAnsi="宋体" w:eastAsia="宋体" w:cs="宋体"/>
                <w:i w:val="0"/>
                <w:iCs w:val="0"/>
                <w:color w:val="auto"/>
                <w:kern w:val="1"/>
                <w:sz w:val="22"/>
                <w:szCs w:val="22"/>
                <w:highlight w:val="none"/>
              </w:rPr>
              <w:t>持有有效的</w:t>
            </w:r>
            <w:r>
              <w:rPr>
                <w:rFonts w:hint="eastAsia" w:ascii="宋体" w:hAnsi="宋体" w:eastAsia="宋体" w:cs="宋体"/>
                <w:b/>
                <w:bCs/>
                <w:i w:val="0"/>
                <w:iCs w:val="0"/>
                <w:color w:val="auto"/>
                <w:kern w:val="1"/>
                <w:sz w:val="22"/>
                <w:szCs w:val="22"/>
                <w:highlight w:val="none"/>
              </w:rPr>
              <w:t>交通运输主管部门颁发的安全生产考核合格证书（C证）</w:t>
            </w:r>
            <w:r>
              <w:rPr>
                <w:rFonts w:hint="eastAsia" w:ascii="宋体" w:hAnsi="宋体" w:eastAsia="宋体" w:cs="宋体"/>
                <w:i w:val="0"/>
                <w:iCs w:val="0"/>
                <w:color w:val="auto"/>
                <w:kern w:val="1"/>
                <w:sz w:val="22"/>
                <w:szCs w:val="22"/>
                <w:highlight w:val="none"/>
              </w:rPr>
              <w:t>，并配合招标人项目部进行安全管理工作</w:t>
            </w:r>
            <w:r>
              <w:rPr>
                <w:rFonts w:hint="eastAsia" w:ascii="宋体" w:hAnsi="宋体" w:eastAsia="宋体" w:cs="宋体"/>
                <w:i w:val="0"/>
                <w:iCs w:val="0"/>
                <w:color w:val="auto"/>
                <w:kern w:val="1"/>
                <w:sz w:val="22"/>
                <w:szCs w:val="22"/>
                <w:highlight w:val="none"/>
                <w:lang w:eastAsia="zh-CN"/>
              </w:rPr>
              <w:t>。</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1"/>
              </w:rPr>
            </w:pP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宋体" w:cs="宋体"/>
                <w:kern w:val="1"/>
              </w:rPr>
            </w:pPr>
            <w:r>
              <w:rPr>
                <w:rFonts w:hint="eastAsia" w:ascii="宋体" w:hAnsi="宋体" w:eastAsia="宋体" w:cs="宋体"/>
                <w:i w:val="0"/>
                <w:iCs w:val="0"/>
                <w:color w:val="auto"/>
                <w:sz w:val="22"/>
                <w:szCs w:val="22"/>
                <w:highlight w:val="none"/>
              </w:rPr>
              <w:t>资料员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宋体" w:cs="宋体"/>
                <w:kern w:val="1"/>
              </w:rPr>
            </w:pPr>
            <w:r>
              <w:rPr>
                <w:rFonts w:hint="eastAsia" w:ascii="宋体" w:hAnsi="宋体" w:eastAsia="宋体" w:cs="宋体"/>
                <w:i w:val="0"/>
                <w:iCs w:val="0"/>
                <w:color w:val="auto"/>
                <w:kern w:val="1"/>
                <w:sz w:val="22"/>
                <w:szCs w:val="22"/>
                <w:highlight w:val="none"/>
              </w:rPr>
              <w:t>具有工程内业从业经历，能熟练使用电脑办公软件</w:t>
            </w:r>
            <w:r>
              <w:rPr>
                <w:rFonts w:hint="eastAsia" w:ascii="宋体" w:hAnsi="宋体" w:eastAsia="宋体" w:cs="宋体"/>
                <w:i w:val="0"/>
                <w:iCs w:val="0"/>
                <w:color w:val="auto"/>
                <w:kern w:val="1"/>
                <w:sz w:val="22"/>
                <w:szCs w:val="22"/>
                <w:highlight w:val="none"/>
                <w:lang w:eastAsia="zh-CN"/>
              </w:rPr>
              <w:t>。</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1"/>
              </w:rPr>
            </w:pPr>
            <w:r>
              <w:rPr>
                <w:rFonts w:hint="eastAsia" w:ascii="宋体" w:hAnsi="宋体" w:eastAsia="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宋体" w:cs="宋体"/>
                <w:kern w:val="1"/>
              </w:rPr>
            </w:pPr>
            <w:r>
              <w:rPr>
                <w:rFonts w:hint="eastAsia" w:ascii="宋体" w:hAnsi="宋体" w:eastAsia="宋体" w:cs="宋体"/>
                <w:i w:val="0"/>
                <w:iCs w:val="0"/>
                <w:color w:val="auto"/>
                <w:sz w:val="22"/>
                <w:szCs w:val="22"/>
                <w:highlight w:val="none"/>
              </w:rPr>
              <w:t>技术员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ascii="宋体" w:hAnsi="宋体" w:cs="宋体"/>
                <w:kern w:val="1"/>
              </w:rPr>
            </w:pPr>
            <w:r>
              <w:rPr>
                <w:rFonts w:hint="eastAsia" w:ascii="宋体" w:hAnsi="宋体" w:eastAsia="宋体" w:cs="宋体"/>
                <w:i w:val="0"/>
                <w:iCs w:val="0"/>
                <w:color w:val="auto"/>
                <w:sz w:val="22"/>
                <w:szCs w:val="22"/>
                <w:highlight w:val="none"/>
              </w:rPr>
              <w:t>具有工程现场施工从业经历，有一定协调能力和现场应变能力</w:t>
            </w:r>
            <w:r>
              <w:rPr>
                <w:rFonts w:hint="eastAsia" w:ascii="宋体" w:hAnsi="宋体" w:eastAsia="宋体" w:cs="宋体"/>
                <w:i w:val="0"/>
                <w:iCs w:val="0"/>
                <w:color w:val="auto"/>
                <w:sz w:val="22"/>
                <w:szCs w:val="22"/>
                <w:highlight w:val="none"/>
                <w:lang w:eastAsia="zh-CN"/>
              </w:rPr>
              <w:t>。</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1"/>
              </w:rPr>
            </w:pP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1"/>
              </w:rPr>
            </w:pPr>
            <w:r>
              <w:rPr>
                <w:rFonts w:hint="eastAsia" w:ascii="宋体" w:hAnsi="宋体" w:eastAsia="宋体" w:cs="宋体"/>
                <w:i w:val="0"/>
                <w:iCs w:val="0"/>
                <w:color w:val="auto"/>
                <w:kern w:val="1"/>
                <w:sz w:val="22"/>
                <w:szCs w:val="22"/>
                <w:highlight w:val="none"/>
              </w:rPr>
              <w:t>作业队</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1"/>
              </w:rPr>
            </w:pPr>
            <w:r>
              <w:rPr>
                <w:rFonts w:hint="eastAsia" w:ascii="宋体" w:hAnsi="宋体" w:eastAsia="宋体" w:cs="宋体"/>
                <w:i w:val="0"/>
                <w:iCs w:val="0"/>
                <w:color w:val="auto"/>
                <w:sz w:val="22"/>
                <w:szCs w:val="22"/>
                <w:highlight w:val="none"/>
                <w:lang w:eastAsia="zh-CN"/>
              </w:rPr>
              <w:t>每个班组</w:t>
            </w:r>
            <w:r>
              <w:rPr>
                <w:rFonts w:hint="eastAsia" w:ascii="宋体" w:hAnsi="宋体" w:eastAsia="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lang w:eastAsia="zh-CN"/>
              </w:rPr>
              <w:t>人</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1"/>
              </w:rPr>
            </w:pPr>
            <w:r>
              <w:rPr>
                <w:rFonts w:hint="eastAsia" w:ascii="宋体" w:hAnsi="宋体" w:eastAsia="宋体" w:cs="宋体"/>
                <w:i w:val="0"/>
                <w:iCs w:val="0"/>
                <w:color w:val="auto"/>
                <w:kern w:val="0"/>
                <w:sz w:val="22"/>
                <w:szCs w:val="22"/>
                <w:highlight w:val="none"/>
                <w:lang w:val="en-US" w:eastAsia="zh-CN"/>
              </w:rPr>
              <w:t>6个班组</w:t>
            </w:r>
          </w:p>
        </w:tc>
      </w:tr>
    </w:tbl>
    <w:p>
      <w:pPr>
        <w:widowControl/>
        <w:ind w:firstLine="420"/>
        <w:jc w:val="left"/>
        <w:rPr>
          <w:rFonts w:hint="eastAsia" w:ascii="宋体" w:hAnsi="宋体" w:cs="宋体"/>
          <w:iCs/>
        </w:rPr>
      </w:pPr>
      <w:r>
        <w:rPr>
          <w:rFonts w:hint="eastAsia" w:ascii="宋体" w:hAnsi="宋体" w:cs="宋体"/>
          <w:iCs/>
        </w:rPr>
        <w:t>注：</w:t>
      </w:r>
      <w:r>
        <w:rPr>
          <w:rFonts w:hint="eastAsia" w:ascii="宋体" w:hAnsi="宋体" w:cs="宋体"/>
          <w:iCs/>
          <w:color w:val="000000"/>
          <w:kern w:val="0"/>
          <w:u w:val="single"/>
          <w:lang w:bidi="ar"/>
        </w:rPr>
        <w:t>施工班组和人员配备为正常施工配置，如有工程进度要求，各施工队必须无条件的增加施工人员和机具配置</w:t>
      </w:r>
      <w:r>
        <w:rPr>
          <w:rFonts w:hint="eastAsia" w:ascii="宋体" w:hAnsi="宋体" w:cs="宋体"/>
          <w:iCs/>
        </w:rPr>
        <w:t>。</w:t>
      </w:r>
    </w:p>
    <w:p>
      <w:pPr>
        <w:pStyle w:val="10"/>
        <w:ind w:left="0" w:leftChars="0" w:firstLine="0" w:firstLineChars="0"/>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pPr>
    </w:p>
    <w:p>
      <w:pPr>
        <w:pStyle w:val="4"/>
        <w:rPr>
          <w:rFonts w:hint="eastAsia" w:ascii="宋体" w:hAnsi="宋体" w:cs="宋体"/>
          <w:b w:val="0"/>
          <w:iCs/>
          <w:sz w:val="24"/>
          <w:szCs w:val="24"/>
        </w:rPr>
      </w:pPr>
      <w:bookmarkStart w:id="16" w:name="_Toc5842"/>
      <w:bookmarkStart w:id="17" w:name="_Toc533720427"/>
      <w:r>
        <w:rPr>
          <w:rFonts w:hint="eastAsia" w:ascii="宋体" w:hAnsi="宋体" w:cs="宋体"/>
          <w:b w:val="0"/>
          <w:iCs/>
          <w:sz w:val="24"/>
          <w:szCs w:val="24"/>
        </w:rPr>
        <w:t>附录</w:t>
      </w:r>
      <w:r>
        <w:rPr>
          <w:rFonts w:hint="eastAsia" w:ascii="宋体" w:hAnsi="宋体" w:cs="宋体"/>
          <w:b w:val="0"/>
          <w:iCs/>
          <w:sz w:val="24"/>
          <w:szCs w:val="24"/>
          <w:lang w:val="en-US" w:eastAsia="zh-CN"/>
        </w:rPr>
        <w:t>5</w:t>
      </w:r>
      <w:r>
        <w:rPr>
          <w:rFonts w:hint="eastAsia" w:ascii="宋体" w:hAnsi="宋体" w:cs="宋体"/>
          <w:b w:val="0"/>
          <w:iCs/>
          <w:sz w:val="24"/>
          <w:szCs w:val="24"/>
        </w:rPr>
        <w:t xml:space="preserve">  资格审查条件(主要机械设备和试验检测设备最低要求)</w:t>
      </w:r>
      <w:bookmarkEnd w:id="16"/>
      <w:bookmarkEnd w:id="17"/>
    </w:p>
    <w:tbl>
      <w:tblPr>
        <w:tblStyle w:val="8"/>
        <w:tblW w:w="431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266"/>
        <w:gridCol w:w="2783"/>
        <w:gridCol w:w="995"/>
        <w:gridCol w:w="1158"/>
        <w:gridCol w:w="115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60" w:hRule="atLeast"/>
          <w:tblHeader/>
          <w:jc w:val="center"/>
        </w:trPr>
        <w:tc>
          <w:tcPr>
            <w:tcW w:w="860" w:type="pct"/>
            <w:noWrap w:val="0"/>
            <w:vAlign w:val="center"/>
          </w:tcPr>
          <w:p>
            <w:pPr>
              <w:jc w:val="center"/>
              <w:rPr>
                <w:rFonts w:ascii="宋体" w:hAnsi="宋体" w:cs="宋体"/>
                <w:b/>
                <w:iCs/>
                <w:kern w:val="1"/>
              </w:rPr>
            </w:pPr>
            <w:r>
              <w:rPr>
                <w:rFonts w:hint="eastAsia" w:ascii="宋体" w:hAnsi="宋体" w:cs="宋体"/>
                <w:b/>
                <w:iCs/>
                <w:kern w:val="1"/>
              </w:rPr>
              <w:t>序号</w:t>
            </w:r>
          </w:p>
        </w:tc>
        <w:tc>
          <w:tcPr>
            <w:tcW w:w="1890" w:type="pct"/>
            <w:noWrap w:val="0"/>
            <w:vAlign w:val="center"/>
          </w:tcPr>
          <w:p>
            <w:pPr>
              <w:jc w:val="center"/>
              <w:rPr>
                <w:rFonts w:ascii="宋体" w:hAnsi="宋体" w:cs="宋体"/>
                <w:b/>
                <w:iCs/>
                <w:kern w:val="1"/>
              </w:rPr>
            </w:pPr>
            <w:r>
              <w:rPr>
                <w:rFonts w:hint="eastAsia" w:ascii="宋体" w:hAnsi="宋体" w:cs="宋体"/>
                <w:b/>
                <w:iCs/>
                <w:kern w:val="1"/>
              </w:rPr>
              <w:t>设备名称</w:t>
            </w:r>
          </w:p>
        </w:tc>
        <w:tc>
          <w:tcPr>
            <w:tcW w:w="676" w:type="pct"/>
            <w:noWrap w:val="0"/>
            <w:vAlign w:val="center"/>
          </w:tcPr>
          <w:p>
            <w:pPr>
              <w:jc w:val="center"/>
              <w:rPr>
                <w:rFonts w:ascii="宋体" w:hAnsi="宋体" w:cs="宋体"/>
                <w:b/>
                <w:iCs/>
                <w:kern w:val="1"/>
              </w:rPr>
            </w:pPr>
            <w:r>
              <w:rPr>
                <w:rFonts w:hint="eastAsia" w:ascii="宋体" w:hAnsi="宋体" w:cs="宋体"/>
                <w:b/>
                <w:iCs/>
                <w:kern w:val="1"/>
              </w:rPr>
              <w:t>单位</w:t>
            </w:r>
          </w:p>
        </w:tc>
        <w:tc>
          <w:tcPr>
            <w:tcW w:w="786" w:type="pct"/>
            <w:noWrap w:val="0"/>
            <w:vAlign w:val="center"/>
          </w:tcPr>
          <w:p>
            <w:pPr>
              <w:jc w:val="center"/>
              <w:rPr>
                <w:rFonts w:ascii="宋体" w:hAnsi="宋体" w:cs="宋体"/>
                <w:b/>
                <w:iCs/>
                <w:kern w:val="1"/>
              </w:rPr>
            </w:pPr>
            <w:r>
              <w:rPr>
                <w:rFonts w:hint="eastAsia" w:ascii="宋体" w:hAnsi="宋体" w:cs="宋体"/>
                <w:b/>
                <w:iCs/>
                <w:kern w:val="1"/>
              </w:rPr>
              <w:t>数量</w:t>
            </w:r>
          </w:p>
        </w:tc>
        <w:tc>
          <w:tcPr>
            <w:tcW w:w="786" w:type="pct"/>
            <w:noWrap w:val="0"/>
            <w:vAlign w:val="center"/>
          </w:tcPr>
          <w:p>
            <w:pPr>
              <w:jc w:val="center"/>
              <w:rPr>
                <w:rFonts w:hint="eastAsia" w:ascii="宋体" w:hAnsi="宋体" w:eastAsia="宋体" w:cs="宋体"/>
                <w:b/>
                <w:iCs/>
                <w:kern w:val="1"/>
                <w:lang w:eastAsia="zh-CN"/>
              </w:rPr>
            </w:pPr>
            <w:r>
              <w:rPr>
                <w:rFonts w:hint="eastAsia" w:ascii="宋体" w:hAnsi="宋体" w:cs="宋体"/>
                <w:b/>
                <w:iCs/>
                <w:kern w:val="1"/>
                <w:lang w:eastAsia="zh-CN"/>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2"/>
                <w:szCs w:val="22"/>
                <w:vertAlign w:val="baseline"/>
                <w:lang w:val="en-US" w:eastAsia="zh-CN" w:bidi="ar"/>
              </w:rPr>
              <w:t>1</w:t>
            </w:r>
          </w:p>
        </w:tc>
        <w:tc>
          <w:tcPr>
            <w:tcW w:w="189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液压同步顶升设备</w:t>
            </w:r>
          </w:p>
        </w:tc>
        <w:tc>
          <w:tcPr>
            <w:tcW w:w="67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套</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2"/>
                <w:szCs w:val="22"/>
                <w:vertAlign w:val="baseline"/>
                <w:lang w:val="en-US" w:eastAsia="zh-CN" w:bidi="ar"/>
              </w:rPr>
              <w:t>2</w:t>
            </w:r>
          </w:p>
        </w:tc>
        <w:tc>
          <w:tcPr>
            <w:tcW w:w="189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桥梁检测车</w:t>
            </w:r>
          </w:p>
        </w:tc>
        <w:tc>
          <w:tcPr>
            <w:tcW w:w="67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台</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2"/>
                <w:szCs w:val="22"/>
                <w:vertAlign w:val="baseline"/>
                <w:lang w:val="en-US" w:eastAsia="zh-CN" w:bidi="ar"/>
              </w:rPr>
              <w:t>3</w:t>
            </w:r>
          </w:p>
        </w:tc>
        <w:tc>
          <w:tcPr>
            <w:tcW w:w="189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桥梁挂篮</w:t>
            </w:r>
          </w:p>
        </w:tc>
        <w:tc>
          <w:tcPr>
            <w:tcW w:w="67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个</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2"/>
                <w:szCs w:val="22"/>
                <w:vertAlign w:val="baseline"/>
                <w:lang w:val="en-US" w:eastAsia="zh-CN" w:bidi="ar"/>
              </w:rPr>
              <w:t>4</w:t>
            </w:r>
          </w:p>
        </w:tc>
        <w:tc>
          <w:tcPr>
            <w:tcW w:w="189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高空作业车</w:t>
            </w:r>
          </w:p>
        </w:tc>
        <w:tc>
          <w:tcPr>
            <w:tcW w:w="67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台</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rPr>
            </w:pPr>
            <w:r>
              <w:rPr>
                <w:rFonts w:hint="eastAsia" w:ascii="宋体" w:hAnsi="宋体" w:eastAsia="宋体" w:cs="宋体"/>
                <w:i w:val="0"/>
                <w:iCs w:val="0"/>
                <w:caps w:val="0"/>
                <w:spacing w:val="0"/>
                <w:kern w:val="0"/>
                <w:sz w:val="20"/>
                <w:szCs w:val="20"/>
                <w:vertAlign w:val="baseline"/>
                <w:lang w:val="en-US" w:eastAsia="zh-CN" w:bidi="ar"/>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lang w:val="en-US" w:eastAsia="zh-CN"/>
              </w:rPr>
            </w:pPr>
            <w:r>
              <w:rPr>
                <w:rFonts w:hint="eastAsia" w:ascii="宋体" w:hAnsi="宋体" w:eastAsia="宋体" w:cs="宋体"/>
                <w:i w:val="0"/>
                <w:iCs w:val="0"/>
                <w:caps w:val="0"/>
                <w:spacing w:val="0"/>
                <w:kern w:val="0"/>
                <w:sz w:val="22"/>
                <w:szCs w:val="22"/>
                <w:vertAlign w:val="baseline"/>
                <w:lang w:val="en-US" w:eastAsia="zh-CN" w:bidi="ar"/>
              </w:rPr>
              <w:t>5</w:t>
            </w:r>
          </w:p>
        </w:tc>
        <w:tc>
          <w:tcPr>
            <w:tcW w:w="189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lang w:val="en-US" w:eastAsia="zh-CN"/>
              </w:rPr>
            </w:pPr>
            <w:r>
              <w:rPr>
                <w:rFonts w:hint="eastAsia" w:ascii="宋体" w:hAnsi="宋体" w:eastAsia="宋体" w:cs="宋体"/>
                <w:i w:val="0"/>
                <w:iCs w:val="0"/>
                <w:caps w:val="0"/>
                <w:spacing w:val="0"/>
                <w:kern w:val="0"/>
                <w:sz w:val="20"/>
                <w:szCs w:val="20"/>
                <w:vertAlign w:val="baseline"/>
                <w:lang w:val="en-US" w:eastAsia="zh-CN" w:bidi="ar"/>
              </w:rPr>
              <w:t>随车吊</w:t>
            </w:r>
          </w:p>
        </w:tc>
        <w:tc>
          <w:tcPr>
            <w:tcW w:w="67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lang w:val="en-US" w:eastAsia="zh-CN"/>
              </w:rPr>
            </w:pPr>
            <w:r>
              <w:rPr>
                <w:rFonts w:hint="eastAsia" w:ascii="宋体" w:hAnsi="宋体" w:eastAsia="宋体" w:cs="宋体"/>
                <w:i w:val="0"/>
                <w:iCs w:val="0"/>
                <w:caps w:val="0"/>
                <w:spacing w:val="0"/>
                <w:kern w:val="0"/>
                <w:sz w:val="20"/>
                <w:szCs w:val="20"/>
                <w:vertAlign w:val="baseline"/>
                <w:lang w:val="en-US" w:eastAsia="zh-CN" w:bidi="ar"/>
              </w:rPr>
              <w:t>台</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lang w:val="en-US" w:eastAsia="zh-CN"/>
              </w:rPr>
            </w:pPr>
            <w:r>
              <w:rPr>
                <w:rFonts w:hint="eastAsia" w:ascii="宋体" w:hAnsi="宋体" w:eastAsia="宋体" w:cs="宋体"/>
                <w:i w:val="0"/>
                <w:iCs w:val="0"/>
                <w:caps w:val="0"/>
                <w:spacing w:val="0"/>
                <w:kern w:val="0"/>
                <w:sz w:val="20"/>
                <w:szCs w:val="20"/>
                <w:vertAlign w:val="baseline"/>
                <w:lang w:val="en-US" w:eastAsia="zh-CN" w:bidi="ar"/>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lang w:val="en-US" w:eastAsia="zh-CN"/>
              </w:rPr>
            </w:pPr>
            <w:r>
              <w:rPr>
                <w:rFonts w:hint="eastAsia" w:ascii="宋体" w:hAnsi="宋体" w:eastAsia="宋体" w:cs="宋体"/>
                <w:i w:val="0"/>
                <w:iCs w:val="0"/>
                <w:caps w:val="0"/>
                <w:spacing w:val="0"/>
                <w:kern w:val="0"/>
                <w:sz w:val="22"/>
                <w:szCs w:val="22"/>
                <w:vertAlign w:val="baseline"/>
                <w:lang w:val="en-US" w:eastAsia="zh-CN" w:bidi="ar"/>
              </w:rPr>
              <w:t>6</w:t>
            </w:r>
          </w:p>
        </w:tc>
        <w:tc>
          <w:tcPr>
            <w:tcW w:w="1890"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lang w:val="en-US" w:eastAsia="zh-CN"/>
              </w:rPr>
            </w:pPr>
            <w:r>
              <w:rPr>
                <w:rFonts w:hint="eastAsia" w:ascii="宋体" w:hAnsi="宋体" w:eastAsia="宋体" w:cs="宋体"/>
                <w:i w:val="0"/>
                <w:iCs w:val="0"/>
                <w:caps w:val="0"/>
                <w:spacing w:val="0"/>
                <w:kern w:val="0"/>
                <w:sz w:val="20"/>
                <w:szCs w:val="20"/>
                <w:vertAlign w:val="baseline"/>
                <w:lang w:val="en-US" w:eastAsia="zh-CN" w:bidi="ar"/>
              </w:rPr>
              <w:t>双排座</w:t>
            </w:r>
          </w:p>
        </w:tc>
        <w:tc>
          <w:tcPr>
            <w:tcW w:w="67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lang w:val="en-US" w:eastAsia="zh-CN"/>
              </w:rPr>
            </w:pPr>
            <w:r>
              <w:rPr>
                <w:rFonts w:hint="eastAsia" w:ascii="宋体" w:hAnsi="宋体" w:eastAsia="宋体" w:cs="宋体"/>
                <w:i w:val="0"/>
                <w:iCs w:val="0"/>
                <w:caps w:val="0"/>
                <w:spacing w:val="0"/>
                <w:kern w:val="0"/>
                <w:sz w:val="20"/>
                <w:szCs w:val="20"/>
                <w:vertAlign w:val="baseline"/>
                <w:lang w:val="en-US" w:eastAsia="zh-CN" w:bidi="ar"/>
              </w:rPr>
              <w:t>台</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宋体" w:hAnsi="宋体" w:eastAsia="宋体" w:cs="宋体"/>
                <w:kern w:val="1"/>
                <w:lang w:val="en-US" w:eastAsia="zh-CN"/>
              </w:rPr>
            </w:pPr>
            <w:r>
              <w:rPr>
                <w:rFonts w:hint="eastAsia" w:ascii="宋体" w:hAnsi="宋体" w:eastAsia="宋体" w:cs="宋体"/>
                <w:i w:val="0"/>
                <w:iCs w:val="0"/>
                <w:caps w:val="0"/>
                <w:spacing w:val="0"/>
                <w:kern w:val="0"/>
                <w:sz w:val="20"/>
                <w:szCs w:val="20"/>
                <w:vertAlign w:val="baseline"/>
                <w:lang w:val="en-US" w:eastAsia="zh-CN" w:bidi="ar"/>
              </w:rPr>
              <w:t>6</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bookmarkEnd w:id="3"/>
      <w:bookmarkEnd w:id="4"/>
      <w:bookmarkEnd w:id="5"/>
      <w:bookmarkEnd w:id="6"/>
    </w:tbl>
    <w:p>
      <w:pPr>
        <w:widowControl/>
        <w:spacing w:line="700" w:lineRule="exact"/>
        <w:jc w:val="left"/>
        <w:rPr>
          <w:rFonts w:ascii="宋体" w:hAnsi="宋体" w:cs="宋体"/>
        </w:rPr>
      </w:pPr>
    </w:p>
    <w:p>
      <w:pPr>
        <w:pStyle w:val="2"/>
        <w:ind w:left="0" w:leftChars="0" w:firstLine="0" w:firstLineChars="0"/>
        <w:rPr>
          <w:rFonts w:ascii="Times New Roman" w:hAnsi="Times New Roman"/>
          <w:b/>
        </w:rPr>
      </w:pPr>
      <w:r>
        <w:br w:type="page"/>
      </w:r>
      <w:r>
        <w:rPr>
          <w:rFonts w:ascii="Times New Roman" w:hAnsi="Times New Roman"/>
          <w:iCs/>
        </w:rPr>
        <w:t>附录</w:t>
      </w:r>
      <w:r>
        <w:rPr>
          <w:rFonts w:hint="eastAsia" w:ascii="Times New Roman" w:hAnsi="Times New Roman"/>
          <w:iCs/>
          <w:lang w:val="en-US" w:eastAsia="zh-CN"/>
        </w:rPr>
        <w:t>6</w:t>
      </w:r>
      <w:r>
        <w:rPr>
          <w:rFonts w:ascii="Times New Roman" w:hAnsi="Times New Roman"/>
          <w:iCs/>
        </w:rPr>
        <w:t xml:space="preserve">  资格审查条件(资质最低要求)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Times New Roman" w:hAnsi="Times New Roman"/>
              </w:rPr>
            </w:pPr>
            <w:r>
              <w:rPr>
                <w:rFonts w:ascii="Times New Roman" w:hAnsi="Times New Roman"/>
                <w:iCs/>
                <w:kern w:val="0"/>
              </w:rPr>
              <w:t>资格审查条件(业绩最低要求)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pStyle w:val="2"/>
              <w:ind w:left="0" w:leftChars="0" w:firstLine="0" w:firstLineChars="0"/>
              <w:rPr>
                <w:rFonts w:ascii="Times New Roman" w:hAnsi="Times New Roman"/>
                <w:color w:val="000000"/>
              </w:rPr>
            </w:pPr>
            <w:r>
              <w:rPr>
                <w:rFonts w:hint="eastAsia" w:ascii="宋体" w:hAnsi="宋体" w:eastAsia="宋体" w:cs="宋体"/>
                <w:i w:val="0"/>
                <w:iCs w:val="0"/>
                <w:caps w:val="0"/>
                <w:color w:val="333333"/>
                <w:spacing w:val="0"/>
                <w:sz w:val="22"/>
                <w:szCs w:val="22"/>
                <w:shd w:val="clear" w:color="auto" w:fill="FFFFFF"/>
                <w:vertAlign w:val="baseline"/>
              </w:rPr>
              <w:t>投标人近三年必须具有不少于</w:t>
            </w:r>
            <w:r>
              <w:rPr>
                <w:rFonts w:hint="eastAsia" w:ascii="宋体" w:hAnsi="宋体" w:cs="宋体"/>
                <w:i w:val="0"/>
                <w:iCs w:val="0"/>
                <w:caps w:val="0"/>
                <w:color w:val="333333"/>
                <w:spacing w:val="0"/>
                <w:sz w:val="22"/>
                <w:szCs w:val="22"/>
                <w:shd w:val="clear" w:color="auto" w:fill="FFFFFF"/>
                <w:vertAlign w:val="baseline"/>
                <w:lang w:val="en-US" w:eastAsia="zh-CN"/>
              </w:rPr>
              <w:t>1</w:t>
            </w:r>
            <w:r>
              <w:rPr>
                <w:rFonts w:hint="eastAsia" w:ascii="宋体" w:hAnsi="宋体" w:eastAsia="宋体" w:cs="宋体"/>
                <w:i w:val="0"/>
                <w:iCs w:val="0"/>
                <w:caps w:val="0"/>
                <w:color w:val="333333"/>
                <w:spacing w:val="0"/>
                <w:sz w:val="22"/>
                <w:szCs w:val="22"/>
                <w:shd w:val="clear" w:color="auto" w:fill="FFFFFF"/>
                <w:vertAlign w:val="baseline"/>
              </w:rPr>
              <w:t>项</w:t>
            </w:r>
            <w:r>
              <w:rPr>
                <w:rFonts w:hint="eastAsia" w:ascii="宋体" w:hAnsi="宋体" w:cs="宋体"/>
                <w:i w:val="0"/>
                <w:iCs w:val="0"/>
                <w:caps w:val="0"/>
                <w:color w:val="333333"/>
                <w:spacing w:val="0"/>
                <w:sz w:val="22"/>
                <w:szCs w:val="22"/>
                <w:shd w:val="clear" w:color="auto" w:fill="FFFFFF"/>
                <w:vertAlign w:val="baseline"/>
                <w:lang w:eastAsia="zh-CN"/>
              </w:rPr>
              <w:t>桥涵加固或</w:t>
            </w:r>
            <w:r>
              <w:rPr>
                <w:rFonts w:hint="eastAsia" w:ascii="宋体" w:hAnsi="宋体" w:cs="宋体"/>
                <w:i w:val="0"/>
                <w:iCs w:val="0"/>
                <w:caps w:val="0"/>
                <w:color w:val="333333"/>
                <w:spacing w:val="0"/>
                <w:sz w:val="22"/>
                <w:szCs w:val="22"/>
                <w:shd w:val="clear" w:color="auto" w:fill="FFFFFF"/>
                <w:vertAlign w:val="baseline"/>
                <w:lang w:val="en-US" w:eastAsia="zh-CN"/>
              </w:rPr>
              <w:t>1项</w:t>
            </w:r>
            <w:r>
              <w:rPr>
                <w:rFonts w:hint="eastAsia" w:ascii="宋体" w:hAnsi="宋体" w:eastAsia="宋体" w:cs="宋体"/>
                <w:i w:val="0"/>
                <w:iCs w:val="0"/>
                <w:caps w:val="0"/>
                <w:color w:val="333333"/>
                <w:spacing w:val="0"/>
                <w:sz w:val="22"/>
                <w:szCs w:val="22"/>
                <w:shd w:val="clear" w:color="auto" w:fill="FFFFFF"/>
                <w:vertAlign w:val="baseline"/>
                <w:lang w:val="en-US" w:eastAsia="zh-CN"/>
              </w:rPr>
              <w:t>隧道病害处治</w:t>
            </w:r>
            <w:r>
              <w:rPr>
                <w:rFonts w:hint="eastAsia" w:ascii="宋体" w:hAnsi="宋体" w:eastAsia="宋体" w:cs="宋体"/>
                <w:i w:val="0"/>
                <w:iCs w:val="0"/>
                <w:caps w:val="0"/>
                <w:color w:val="333333"/>
                <w:spacing w:val="0"/>
                <w:sz w:val="22"/>
                <w:szCs w:val="22"/>
                <w:shd w:val="clear" w:color="auto" w:fill="FFFFFF"/>
                <w:vertAlign w:val="baseline"/>
              </w:rPr>
              <w:t>施工业绩（含在建项目），单个合同金额不少于200万。</w:t>
            </w:r>
          </w:p>
        </w:tc>
      </w:tr>
    </w:tbl>
    <w:p>
      <w:pPr>
        <w:widowControl/>
        <w:jc w:val="left"/>
        <w:rPr>
          <w:rFonts w:ascii="Times New Roman" w:hAnsi="Times New Roman" w:eastAsia="宋体" w:cs="Times New Roman"/>
          <w:sz w:val="21"/>
          <w:szCs w:val="21"/>
          <w:u w:val="single"/>
        </w:rPr>
      </w:pPr>
      <w:r>
        <w:rPr>
          <w:rFonts w:ascii="Times New Roman" w:hAnsi="Times New Roman"/>
          <w:sz w:val="21"/>
          <w:szCs w:val="21"/>
        </w:rPr>
        <w:t>注：</w:t>
      </w:r>
      <w:r>
        <w:rPr>
          <w:rFonts w:ascii="Times New Roman" w:hAnsi="Times New Roman"/>
          <w:sz w:val="21"/>
          <w:szCs w:val="21"/>
          <w:u w:val="single"/>
        </w:rPr>
        <w:t>1.报价人应按招标文件第</w:t>
      </w:r>
      <w:r>
        <w:rPr>
          <w:rFonts w:hint="eastAsia" w:ascii="Times New Roman" w:hAnsi="Times New Roman"/>
          <w:sz w:val="21"/>
          <w:szCs w:val="21"/>
          <w:u w:val="single"/>
        </w:rPr>
        <w:t>七</w:t>
      </w:r>
      <w:r>
        <w:rPr>
          <w:rFonts w:ascii="Times New Roman" w:hAnsi="Times New Roman"/>
          <w:sz w:val="21"/>
          <w:szCs w:val="21"/>
          <w:u w:val="single"/>
        </w:rPr>
        <w:t>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w:t>
      </w:r>
      <w:r>
        <w:rPr>
          <w:rFonts w:hint="eastAsia" w:ascii="Times New Roman" w:hAnsi="Times New Roman" w:eastAsia="宋体" w:cs="Times New Roman"/>
          <w:sz w:val="21"/>
          <w:szCs w:val="21"/>
          <w:u w:val="single"/>
        </w:rPr>
        <w:t>至投标截止日期前一日</w:t>
      </w:r>
      <w:r>
        <w:rPr>
          <w:rFonts w:ascii="Times New Roman" w:hAnsi="Times New Roman" w:eastAsia="宋体" w:cs="Times New Roman"/>
          <w:sz w:val="21"/>
          <w:szCs w:val="21"/>
          <w:u w:val="single"/>
        </w:rPr>
        <w:t>，以此类推。</w:t>
      </w:r>
    </w:p>
    <w:p>
      <w:pPr>
        <w:pStyle w:val="2"/>
        <w:ind w:left="0" w:leftChars="0" w:firstLine="0" w:firstLineChars="0"/>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lang w:eastAsia="zh-CN"/>
        </w:rPr>
      </w:pPr>
    </w:p>
    <w:p>
      <w:pPr>
        <w:widowControl/>
        <w:spacing w:line="360" w:lineRule="auto"/>
        <w:jc w:val="left"/>
        <w:rPr>
          <w:rFonts w:hint="eastAsia" w:ascii="宋体" w:hAnsi="宋体" w:cs="宋体"/>
          <w:b/>
          <w:kern w:val="44"/>
          <w:sz w:val="28"/>
          <w:szCs w:val="28"/>
          <w:lang w:val="en-US" w:eastAsia="zh-CN"/>
        </w:rPr>
      </w:pPr>
      <w:r>
        <w:rPr>
          <w:rFonts w:hint="eastAsia" w:ascii="宋体" w:hAnsi="宋体" w:cs="宋体"/>
          <w:b/>
          <w:kern w:val="44"/>
          <w:sz w:val="28"/>
          <w:szCs w:val="28"/>
          <w:lang w:val="en-US" w:eastAsia="zh-CN"/>
        </w:rPr>
        <w:t xml:space="preserve">附录7           </w:t>
      </w:r>
    </w:p>
    <w:p>
      <w:pPr>
        <w:widowControl/>
        <w:spacing w:line="360" w:lineRule="auto"/>
        <w:jc w:val="center"/>
        <w:rPr>
          <w:rFonts w:hint="eastAsia" w:ascii="宋体" w:hAnsi="宋体" w:cs="宋体"/>
          <w:b/>
          <w:kern w:val="44"/>
          <w:sz w:val="28"/>
          <w:szCs w:val="28"/>
          <w:lang w:val="en-US" w:eastAsia="zh-CN"/>
        </w:rPr>
      </w:pPr>
    </w:p>
    <w:p>
      <w:pPr>
        <w:widowControl/>
        <w:spacing w:line="360" w:lineRule="auto"/>
        <w:jc w:val="center"/>
        <w:rPr>
          <w:rFonts w:hint="eastAsia" w:ascii="宋体" w:hAnsi="宋体" w:cs="宋体"/>
          <w:b/>
          <w:kern w:val="44"/>
          <w:sz w:val="28"/>
          <w:szCs w:val="28"/>
        </w:rPr>
      </w:pPr>
      <w:r>
        <w:rPr>
          <w:rFonts w:hint="eastAsia" w:ascii="宋体" w:hAnsi="宋体" w:cs="宋体"/>
          <w:b/>
          <w:kern w:val="44"/>
          <w:sz w:val="28"/>
          <w:szCs w:val="28"/>
        </w:rPr>
        <w:t>湖北省高速公路实业开发有限公司</w:t>
      </w:r>
    </w:p>
    <w:p>
      <w:pPr>
        <w:widowControl/>
        <w:spacing w:line="360" w:lineRule="auto"/>
        <w:jc w:val="center"/>
        <w:rPr>
          <w:rFonts w:hint="eastAsia" w:ascii="宋体" w:hAnsi="宋体" w:eastAsia="宋体" w:cs="宋体"/>
          <w:b/>
          <w:kern w:val="44"/>
          <w:sz w:val="28"/>
          <w:szCs w:val="28"/>
          <w:lang w:val="en-US" w:eastAsia="zh-CN"/>
        </w:rPr>
      </w:pPr>
      <w:r>
        <w:rPr>
          <w:rFonts w:hint="eastAsia" w:ascii="宋体" w:hAnsi="宋体" w:eastAsia="宋体" w:cs="宋体"/>
          <w:b/>
          <w:kern w:val="44"/>
          <w:sz w:val="28"/>
          <w:szCs w:val="28"/>
          <w:lang w:val="en-US" w:eastAsia="zh-CN"/>
        </w:rPr>
        <w:t>襄随片区2021年专项工程劳务协作队伍2标段采购</w:t>
      </w:r>
      <w:r>
        <w:rPr>
          <w:rFonts w:hint="eastAsia" w:ascii="宋体" w:hAnsi="宋体" w:cs="宋体"/>
          <w:b/>
          <w:kern w:val="44"/>
          <w:sz w:val="28"/>
          <w:szCs w:val="28"/>
          <w:lang w:val="en-US" w:eastAsia="zh-CN"/>
        </w:rPr>
        <w:t>（第二次）</w:t>
      </w:r>
      <w:bookmarkStart w:id="18" w:name="_GoBack"/>
      <w:bookmarkEnd w:id="18"/>
    </w:p>
    <w:p>
      <w:pPr>
        <w:spacing w:line="360" w:lineRule="auto"/>
        <w:jc w:val="center"/>
        <w:rPr>
          <w:rFonts w:hint="eastAsia" w:ascii="宋体" w:hAnsi="宋体"/>
          <w:b/>
          <w:kern w:val="1"/>
          <w:sz w:val="28"/>
          <w:szCs w:val="28"/>
        </w:rPr>
      </w:pPr>
      <w:r>
        <w:rPr>
          <w:rFonts w:hint="eastAsia" w:ascii="宋体" w:hAnsi="宋体" w:cs="宋体"/>
          <w:b/>
          <w:kern w:val="1"/>
          <w:sz w:val="28"/>
          <w:szCs w:val="28"/>
        </w:rPr>
        <w:t>意向申请单位登记表</w:t>
      </w:r>
    </w:p>
    <w:p>
      <w:pPr>
        <w:spacing w:line="500" w:lineRule="exact"/>
        <w:jc w:val="center"/>
        <w:rPr>
          <w:rFonts w:ascii="宋体" w:hAnsi="宋体" w:cs="宋体"/>
          <w:b/>
          <w:kern w:val="1"/>
        </w:rPr>
      </w:pPr>
    </w:p>
    <w:tbl>
      <w:tblPr>
        <w:tblStyle w:val="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560"/>
        <w:gridCol w:w="1559"/>
        <w:gridCol w:w="232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269" w:type="dxa"/>
            <w:noWrap w:val="0"/>
            <w:vAlign w:val="center"/>
          </w:tcPr>
          <w:p>
            <w:pPr>
              <w:widowControl/>
              <w:jc w:val="center"/>
              <w:rPr>
                <w:rFonts w:ascii="宋体" w:hAnsi="宋体" w:cs="宋体"/>
              </w:rPr>
            </w:pPr>
            <w:r>
              <w:rPr>
                <w:rFonts w:hint="eastAsia" w:ascii="宋体" w:hAnsi="宋体" w:cs="宋体"/>
              </w:rPr>
              <w:t>申请单位名称</w:t>
            </w:r>
          </w:p>
        </w:tc>
        <w:tc>
          <w:tcPr>
            <w:tcW w:w="1560" w:type="dxa"/>
            <w:noWrap w:val="0"/>
            <w:vAlign w:val="center"/>
          </w:tcPr>
          <w:p>
            <w:pPr>
              <w:widowControl/>
              <w:jc w:val="center"/>
              <w:rPr>
                <w:rFonts w:ascii="宋体" w:hAnsi="宋体" w:cs="宋体"/>
              </w:rPr>
            </w:pPr>
            <w:r>
              <w:rPr>
                <w:rFonts w:hint="eastAsia" w:ascii="宋体" w:hAnsi="宋体" w:cs="宋体"/>
              </w:rPr>
              <w:t>联系人</w:t>
            </w:r>
          </w:p>
        </w:tc>
        <w:tc>
          <w:tcPr>
            <w:tcW w:w="1559" w:type="dxa"/>
            <w:noWrap w:val="0"/>
            <w:vAlign w:val="center"/>
          </w:tcPr>
          <w:p>
            <w:pPr>
              <w:widowControl/>
              <w:jc w:val="center"/>
              <w:rPr>
                <w:rFonts w:ascii="宋体" w:hAnsi="宋体" w:cs="宋体"/>
              </w:rPr>
            </w:pPr>
            <w:r>
              <w:rPr>
                <w:rFonts w:hint="eastAsia" w:ascii="宋体" w:hAnsi="宋体" w:cs="宋体"/>
              </w:rPr>
              <w:t>联系电话</w:t>
            </w:r>
          </w:p>
        </w:tc>
        <w:tc>
          <w:tcPr>
            <w:tcW w:w="2325" w:type="dxa"/>
            <w:noWrap w:val="0"/>
            <w:vAlign w:val="center"/>
          </w:tcPr>
          <w:p>
            <w:pPr>
              <w:widowControl/>
              <w:jc w:val="center"/>
              <w:rPr>
                <w:rFonts w:ascii="宋体" w:hAnsi="宋体" w:cs="宋体"/>
              </w:rPr>
            </w:pPr>
            <w:r>
              <w:rPr>
                <w:rFonts w:hint="eastAsia" w:ascii="宋体" w:hAnsi="宋体" w:cs="宋体"/>
              </w:rPr>
              <w:t>询价函接收邮箱</w:t>
            </w:r>
          </w:p>
        </w:tc>
        <w:tc>
          <w:tcPr>
            <w:tcW w:w="1332" w:type="dxa"/>
            <w:noWrap w:val="0"/>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269" w:type="dxa"/>
            <w:noWrap w:val="0"/>
            <w:vAlign w:val="center"/>
          </w:tcPr>
          <w:p>
            <w:pPr>
              <w:widowControl/>
              <w:jc w:val="left"/>
              <w:rPr>
                <w:rFonts w:ascii="宋体" w:hAnsi="宋体" w:cs="宋体"/>
              </w:rPr>
            </w:pPr>
            <w:r>
              <w:rPr>
                <w:rFonts w:hint="eastAsia" w:ascii="宋体" w:hAnsi="宋体" w:cs="宋体"/>
              </w:rPr>
              <w:t>　</w:t>
            </w:r>
          </w:p>
        </w:tc>
        <w:tc>
          <w:tcPr>
            <w:tcW w:w="1560" w:type="dxa"/>
            <w:noWrap w:val="0"/>
            <w:vAlign w:val="center"/>
          </w:tcPr>
          <w:p>
            <w:pPr>
              <w:widowControl/>
              <w:jc w:val="left"/>
              <w:rPr>
                <w:rFonts w:ascii="宋体" w:hAnsi="宋体" w:cs="宋体"/>
              </w:rPr>
            </w:pPr>
            <w:r>
              <w:rPr>
                <w:rFonts w:hint="eastAsia" w:ascii="宋体" w:hAnsi="宋体" w:cs="宋体"/>
              </w:rPr>
              <w:t>　</w:t>
            </w:r>
          </w:p>
        </w:tc>
        <w:tc>
          <w:tcPr>
            <w:tcW w:w="1559" w:type="dxa"/>
            <w:noWrap w:val="0"/>
            <w:vAlign w:val="center"/>
          </w:tcPr>
          <w:p>
            <w:pPr>
              <w:widowControl/>
              <w:jc w:val="left"/>
              <w:rPr>
                <w:rFonts w:ascii="宋体" w:hAnsi="宋体" w:cs="宋体"/>
              </w:rPr>
            </w:pPr>
            <w:r>
              <w:rPr>
                <w:rFonts w:hint="eastAsia" w:ascii="宋体" w:hAnsi="宋体" w:cs="宋体"/>
              </w:rPr>
              <w:t>　</w:t>
            </w:r>
          </w:p>
        </w:tc>
        <w:tc>
          <w:tcPr>
            <w:tcW w:w="2325" w:type="dxa"/>
            <w:noWrap w:val="0"/>
            <w:vAlign w:val="center"/>
          </w:tcPr>
          <w:p>
            <w:pPr>
              <w:widowControl/>
              <w:jc w:val="left"/>
              <w:rPr>
                <w:rFonts w:ascii="宋体" w:hAnsi="宋体" w:cs="宋体"/>
              </w:rPr>
            </w:pPr>
            <w:r>
              <w:rPr>
                <w:rFonts w:hint="eastAsia" w:ascii="宋体" w:hAnsi="宋体" w:cs="宋体"/>
              </w:rPr>
              <w:t>　</w:t>
            </w:r>
          </w:p>
        </w:tc>
        <w:tc>
          <w:tcPr>
            <w:tcW w:w="1332" w:type="dxa"/>
            <w:noWrap w:val="0"/>
            <w:vAlign w:val="center"/>
          </w:tcPr>
          <w:p>
            <w:pPr>
              <w:widowControl/>
              <w:jc w:val="left"/>
              <w:rPr>
                <w:rFonts w:ascii="宋体" w:hAnsi="宋体" w:cs="宋体"/>
              </w:rPr>
            </w:pPr>
            <w:r>
              <w:rPr>
                <w:rFonts w:hint="eastAsia" w:ascii="宋体" w:hAnsi="宋体" w:cs="宋体"/>
              </w:rPr>
              <w:t>　</w:t>
            </w:r>
          </w:p>
        </w:tc>
      </w:tr>
    </w:tbl>
    <w:p>
      <w:pPr>
        <w:pStyle w:val="10"/>
        <w:ind w:left="480" w:firstLine="480"/>
        <w:rPr>
          <w:rFonts w:hint="eastAsia" w:ascii="宋体" w:hAnsi="宋体"/>
        </w:rPr>
      </w:pPr>
    </w:p>
    <w:p>
      <w:r>
        <w:rPr>
          <w:rFonts w:ascii="宋体" w:hAnsi="宋体" w:cs="宋体"/>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pPr>
      <w:pStyle w:val="6"/>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A0FC9"/>
    <w:rsid w:val="330034F9"/>
    <w:rsid w:val="358E31C9"/>
    <w:rsid w:val="74FA0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ind w:firstLine="420" w:firstLineChars="200"/>
    </w:pPr>
  </w:style>
  <w:style w:type="paragraph" w:styleId="3">
    <w:name w:val="Body Text Indent"/>
    <w:basedOn w:val="1"/>
    <w:next w:val="1"/>
    <w:unhideWhenUsed/>
    <w:uiPriority w:val="0"/>
    <w:pPr>
      <w:spacing w:after="120"/>
      <w:ind w:left="420" w:leftChars="200"/>
    </w:pPr>
  </w:style>
  <w:style w:type="paragraph" w:styleId="5">
    <w:name w:val="Body Text"/>
    <w:basedOn w:val="1"/>
    <w:uiPriority w:val="0"/>
    <w:pPr>
      <w:spacing w:after="120"/>
    </w:pPr>
  </w:style>
  <w:style w:type="paragraph" w:styleId="6">
    <w:name w:val="footer"/>
    <w:basedOn w:val="1"/>
    <w:unhideWhenUsed/>
    <w:uiPriority w:val="99"/>
    <w:pPr>
      <w:tabs>
        <w:tab w:val="center" w:pos="4153"/>
        <w:tab w:val="right" w:pos="8306"/>
      </w:tabs>
      <w:snapToGrid w:val="0"/>
      <w:spacing w:line="240" w:lineRule="atLeast"/>
      <w:jc w:val="left"/>
    </w:pPr>
    <w:rPr>
      <w:sz w:val="18"/>
      <w:szCs w:val="18"/>
    </w:rPr>
  </w:style>
  <w:style w:type="paragraph" w:styleId="7">
    <w:name w:val="Body Text First Indent"/>
    <w:basedOn w:val="5"/>
    <w:qFormat/>
    <w:uiPriority w:val="0"/>
    <w:pPr>
      <w:spacing w:line="312" w:lineRule="auto"/>
      <w:ind w:firstLine="420"/>
    </w:pPr>
  </w:style>
  <w:style w:type="paragraph" w:customStyle="1" w:styleId="10">
    <w:name w:val="_Style 7"/>
    <w:basedOn w:val="3"/>
    <w:next w:val="2"/>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2021-09-10T02:36:00Z</dcterms:created>
  <dc:creator>褚露霞</dc:creator>
  <cp:lastModifiedBy>褚露霞</cp:lastModifiedBy>
  <dcterms:modified xsi:type="dcterms:W3CDTF">2021-09-10T02:36:32Z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05C6D5F98548497284F21A147E85F048</vt:lpwstr>
  </property>
</Properties>
</file>