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szCs w:val="21"/>
          <w:highlight w:val="none"/>
        </w:rPr>
      </w:pPr>
      <w:bookmarkStart w:id="0" w:name="_GoBack"/>
      <w:bookmarkEnd w:id="0"/>
    </w:p>
    <w:p>
      <w:pPr>
        <w:widowControl/>
        <w:jc w:val="left"/>
        <w:rPr>
          <w:rFonts w:ascii="Times New Roman" w:hAnsi="Times New Roman"/>
          <w:highlight w:val="none"/>
        </w:rPr>
      </w:pPr>
      <w:r>
        <w:rPr>
          <w:rFonts w:ascii="Times New Roman" w:hAnsi="Times New Roman" w:eastAsia="黑体"/>
          <w:kern w:val="0"/>
          <w:sz w:val="24"/>
          <w:szCs w:val="24"/>
          <w:highlight w:val="none"/>
          <w:lang w:bidi="ar"/>
        </w:rPr>
        <w:t xml:space="preserve">附件 </w:t>
      </w:r>
      <w:r>
        <w:rPr>
          <w:rFonts w:ascii="Times New Roman" w:hAnsi="Times New Roman"/>
          <w:kern w:val="0"/>
          <w:sz w:val="24"/>
          <w:szCs w:val="24"/>
          <w:highlight w:val="none"/>
          <w:lang w:bidi="ar"/>
        </w:rPr>
        <w:t>1</w:t>
      </w:r>
      <w:r>
        <w:rPr>
          <w:rFonts w:ascii="Times New Roman" w:hAnsi="Times New Roman" w:eastAsia="黑体"/>
          <w:kern w:val="0"/>
          <w:sz w:val="24"/>
          <w:szCs w:val="24"/>
          <w:highlight w:val="none"/>
          <w:lang w:bidi="ar"/>
        </w:rPr>
        <w:t xml:space="preserve">：资格审查强制性资格条件 </w:t>
      </w:r>
    </w:p>
    <w:p>
      <w:pPr>
        <w:widowControl/>
        <w:jc w:val="center"/>
        <w:rPr>
          <w:rFonts w:ascii="Times New Roman" w:hAnsi="Times New Roman" w:eastAsia="黑体"/>
          <w:kern w:val="0"/>
          <w:sz w:val="24"/>
          <w:szCs w:val="24"/>
          <w:highlight w:val="none"/>
          <w:lang w:bidi="ar"/>
        </w:rPr>
      </w:pPr>
    </w:p>
    <w:p>
      <w:pPr>
        <w:widowControl/>
        <w:jc w:val="center"/>
        <w:rPr>
          <w:rFonts w:ascii="Times New Roman" w:hAnsi="Times New Roman" w:eastAsia="黑体"/>
          <w:kern w:val="0"/>
          <w:sz w:val="24"/>
          <w:szCs w:val="24"/>
          <w:highlight w:val="none"/>
          <w:lang w:bidi="ar"/>
        </w:rPr>
      </w:pPr>
      <w:r>
        <w:rPr>
          <w:rFonts w:ascii="Times New Roman" w:hAnsi="Times New Roman" w:eastAsia="黑体"/>
          <w:kern w:val="0"/>
          <w:sz w:val="24"/>
          <w:szCs w:val="24"/>
          <w:highlight w:val="none"/>
          <w:lang w:bidi="ar"/>
        </w:rPr>
        <w:t>资格审查强制性资格条件（资质最低要求)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最低资质要求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4" w:type="dxa"/>
            <w:noWrap w:val="0"/>
            <w:vAlign w:val="center"/>
          </w:tcPr>
          <w:p>
            <w:pPr>
              <w:widowControl/>
              <w:jc w:val="center"/>
              <w:rPr>
                <w:rFonts w:hint="eastAsia" w:ascii="Times New Roman" w:hAnsi="Times New Roman"/>
                <w:kern w:val="0"/>
                <w:szCs w:val="21"/>
                <w:highlight w:val="none"/>
              </w:rPr>
            </w:pPr>
            <w:r>
              <w:rPr>
                <w:rFonts w:hint="eastAsia" w:ascii="Times New Roman" w:hAnsi="Times New Roman"/>
                <w:kern w:val="0"/>
                <w:szCs w:val="21"/>
                <w:highlight w:val="none"/>
                <w:lang w:bidi="ar"/>
              </w:rPr>
              <w:t>FZC-1</w:t>
            </w:r>
          </w:p>
        </w:tc>
        <w:tc>
          <w:tcPr>
            <w:tcW w:w="6978" w:type="dxa"/>
            <w:noWrap w:val="0"/>
            <w:vAlign w:val="center"/>
          </w:tcPr>
          <w:p>
            <w:pPr>
              <w:widowControl/>
              <w:spacing w:line="360" w:lineRule="auto"/>
              <w:jc w:val="left"/>
              <w:rPr>
                <w:highlight w:val="none"/>
              </w:rPr>
            </w:pPr>
            <w:r>
              <w:rPr>
                <w:highlight w:val="none"/>
              </w:rPr>
              <w:t>同时具备：</w:t>
            </w:r>
          </w:p>
          <w:p>
            <w:pPr>
              <w:pStyle w:val="2"/>
              <w:spacing w:line="360" w:lineRule="auto"/>
              <w:ind w:left="0" w:leftChars="0" w:firstLine="0" w:firstLineChars="0"/>
              <w:rPr>
                <w:highlight w:val="none"/>
              </w:rPr>
            </w:pPr>
            <w:r>
              <w:rPr>
                <w:highlight w:val="none"/>
              </w:rPr>
              <w:t>1.独立的法人资格，具备有效的营业执照；</w:t>
            </w:r>
          </w:p>
          <w:p>
            <w:pPr>
              <w:pStyle w:val="2"/>
              <w:spacing w:line="360" w:lineRule="auto"/>
              <w:ind w:left="0" w:leftChars="0" w:firstLine="0" w:firstLineChars="0"/>
              <w:rPr>
                <w:highlight w:val="none"/>
              </w:rPr>
            </w:pPr>
            <w:r>
              <w:rPr>
                <w:highlight w:val="none"/>
              </w:rPr>
              <w:t>2.</w:t>
            </w:r>
            <w:r>
              <w:rPr>
                <w:rFonts w:hint="eastAsia"/>
                <w:highlight w:val="none"/>
              </w:rPr>
              <w:t>投标</w:t>
            </w:r>
            <w:r>
              <w:rPr>
                <w:highlight w:val="none"/>
              </w:rPr>
              <w:t>人为经销商的须提供制造厂商出具的授权证明；</w:t>
            </w:r>
          </w:p>
          <w:p>
            <w:pPr>
              <w:pStyle w:val="2"/>
              <w:spacing w:line="360" w:lineRule="auto"/>
              <w:ind w:left="0" w:leftChars="0" w:firstLine="0" w:firstLineChars="0"/>
              <w:rPr>
                <w:highlight w:val="none"/>
              </w:rPr>
            </w:pPr>
            <w:r>
              <w:rPr>
                <w:highlight w:val="none"/>
              </w:rPr>
              <w:t>3.所供车辆必须符合CCC认证要求并通过认证（出具有效期内的国家强制性产品认证书）；</w:t>
            </w:r>
          </w:p>
          <w:p>
            <w:pPr>
              <w:pStyle w:val="2"/>
              <w:spacing w:line="360" w:lineRule="auto"/>
              <w:ind w:left="0" w:leftChars="0" w:firstLine="0" w:firstLineChars="0"/>
              <w:rPr>
                <w:highlight w:val="none"/>
              </w:rPr>
            </w:pPr>
            <w:r>
              <w:rPr>
                <w:highlight w:val="none"/>
              </w:rPr>
              <w:t>4.所供车辆列入国家《道路机动车辆生产企业及产品公告》目录（出具道路机动车辆生产企业及产品公告》目录）；</w:t>
            </w:r>
          </w:p>
          <w:p>
            <w:pPr>
              <w:pStyle w:val="2"/>
              <w:spacing w:line="360" w:lineRule="auto"/>
              <w:ind w:left="0" w:leftChars="0" w:firstLine="0" w:firstLineChars="0"/>
              <w:rPr>
                <w:highlight w:val="none"/>
              </w:rPr>
            </w:pPr>
            <w:r>
              <w:rPr>
                <w:highlight w:val="none"/>
              </w:rPr>
              <w:t>5.</w:t>
            </w:r>
            <w:r>
              <w:rPr>
                <w:color w:val="000000"/>
                <w:highlight w:val="none"/>
              </w:rPr>
              <w:t>防撞垫具有第三方检测机构出具的实车碰撞检测报告</w:t>
            </w:r>
            <w:r>
              <w:rPr>
                <w:rFonts w:hint="eastAsia"/>
                <w:color w:val="000000"/>
                <w:highlight w:val="none"/>
              </w:rPr>
              <w:t>，</w:t>
            </w:r>
            <w:r>
              <w:rPr>
                <w:rFonts w:hint="eastAsia"/>
                <w:color w:val="000000"/>
                <w:highlight w:val="none"/>
                <w:lang w:val="en-US" w:eastAsia="zh-CN"/>
              </w:rPr>
              <w:t>且在有效期内，</w:t>
            </w:r>
            <w:r>
              <w:rPr>
                <w:rFonts w:hint="eastAsia"/>
                <w:color w:val="000000"/>
                <w:highlight w:val="none"/>
              </w:rPr>
              <w:t>检测标准依据</w:t>
            </w:r>
            <w:r>
              <w:rPr>
                <w:rStyle w:val="8"/>
                <w:rFonts w:hint="default"/>
                <w:bCs/>
                <w:color w:val="000000"/>
                <w:szCs w:val="21"/>
                <w:highlight w:val="none"/>
              </w:rPr>
              <w:t>《MASH2016》标准要求进行测试。</w:t>
            </w:r>
          </w:p>
        </w:tc>
      </w:tr>
    </w:tbl>
    <w:p>
      <w:pPr>
        <w:widowControl/>
        <w:jc w:val="center"/>
        <w:rPr>
          <w:rFonts w:ascii="Times New Roman" w:hAnsi="Times New Roman" w:eastAsia="黑体"/>
          <w:kern w:val="0"/>
          <w:sz w:val="24"/>
          <w:szCs w:val="24"/>
          <w:highlight w:val="none"/>
          <w:lang w:bidi="ar"/>
        </w:rPr>
      </w:pPr>
    </w:p>
    <w:p>
      <w:pPr>
        <w:widowControl/>
        <w:jc w:val="center"/>
        <w:rPr>
          <w:rFonts w:ascii="Times New Roman" w:hAnsi="Times New Roman" w:eastAsia="黑体"/>
          <w:kern w:val="0"/>
          <w:sz w:val="24"/>
          <w:szCs w:val="24"/>
          <w:highlight w:val="none"/>
          <w:lang w:bidi="ar"/>
        </w:rPr>
      </w:pPr>
    </w:p>
    <w:p>
      <w:pPr>
        <w:widowControl/>
        <w:jc w:val="center"/>
        <w:rPr>
          <w:rFonts w:ascii="Times New Roman" w:hAnsi="Times New Roman" w:eastAsia="黑体"/>
          <w:kern w:val="0"/>
          <w:sz w:val="24"/>
          <w:szCs w:val="24"/>
          <w:highlight w:val="none"/>
          <w:lang w:bidi="ar"/>
        </w:rPr>
      </w:pPr>
    </w:p>
    <w:p>
      <w:pPr>
        <w:widowControl/>
        <w:jc w:val="center"/>
        <w:rPr>
          <w:rFonts w:ascii="Times New Roman" w:hAnsi="Times New Roman" w:eastAsia="黑体"/>
          <w:kern w:val="0"/>
          <w:sz w:val="24"/>
          <w:szCs w:val="24"/>
          <w:highlight w:val="none"/>
          <w:lang w:bidi="ar"/>
        </w:rPr>
      </w:pPr>
      <w:r>
        <w:rPr>
          <w:rFonts w:ascii="Times New Roman" w:hAnsi="Times New Roman" w:eastAsia="黑体"/>
          <w:kern w:val="0"/>
          <w:sz w:val="24"/>
          <w:szCs w:val="24"/>
          <w:highlight w:val="none"/>
          <w:lang w:bidi="ar"/>
        </w:rPr>
        <w:t>资格审查强制性资格条件（业绩最低要求)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ind w:firstLine="840" w:firstLineChars="400"/>
              <w:jc w:val="center"/>
              <w:rPr>
                <w:rFonts w:ascii="Times New Roman" w:hAnsi="Times New Roman"/>
                <w:kern w:val="0"/>
                <w:szCs w:val="21"/>
                <w:highlight w:val="none"/>
              </w:rPr>
            </w:pPr>
            <w:r>
              <w:rPr>
                <w:rFonts w:ascii="Times New Roman" w:hAnsi="Times New Roman"/>
                <w:kern w:val="0"/>
                <w:szCs w:val="21"/>
                <w:highlight w:val="none"/>
                <w:lang w:bidi="ar"/>
              </w:rPr>
              <w:t>最低业绩要求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544" w:type="dxa"/>
            <w:noWrap w:val="0"/>
            <w:vAlign w:val="center"/>
          </w:tcPr>
          <w:p>
            <w:pPr>
              <w:widowControl/>
              <w:jc w:val="center"/>
              <w:rPr>
                <w:rFonts w:hint="eastAsia" w:ascii="Times New Roman" w:hAnsi="Times New Roman"/>
                <w:kern w:val="0"/>
                <w:szCs w:val="21"/>
                <w:highlight w:val="none"/>
              </w:rPr>
            </w:pPr>
            <w:r>
              <w:rPr>
                <w:rFonts w:hint="eastAsia" w:ascii="Times New Roman" w:hAnsi="Times New Roman"/>
                <w:kern w:val="0"/>
                <w:szCs w:val="21"/>
                <w:highlight w:val="none"/>
                <w:lang w:bidi="ar"/>
              </w:rPr>
              <w:t>FZC-1</w:t>
            </w:r>
          </w:p>
        </w:tc>
        <w:tc>
          <w:tcPr>
            <w:tcW w:w="6978" w:type="dxa"/>
            <w:noWrap w:val="0"/>
            <w:vAlign w:val="center"/>
          </w:tcPr>
          <w:p>
            <w:pPr>
              <w:widowControl/>
              <w:spacing w:line="480" w:lineRule="exact"/>
              <w:jc w:val="left"/>
              <w:rPr>
                <w:rFonts w:ascii="Times New Roman" w:hAnsi="Times New Roman"/>
                <w:kern w:val="0"/>
                <w:szCs w:val="21"/>
                <w:highlight w:val="none"/>
              </w:rPr>
            </w:pPr>
            <w:r>
              <w:rPr>
                <w:rFonts w:ascii="Times New Roman" w:hAnsi="Times New Roman"/>
                <w:kern w:val="0"/>
                <w:szCs w:val="21"/>
                <w:highlight w:val="none"/>
                <w:lang w:bidi="ar"/>
              </w:rPr>
              <w:t>近</w:t>
            </w:r>
            <w:r>
              <w:rPr>
                <w:rFonts w:hint="eastAsia" w:ascii="Times New Roman" w:hAnsi="Times New Roman"/>
                <w:kern w:val="0"/>
                <w:szCs w:val="21"/>
                <w:highlight w:val="none"/>
                <w:lang w:bidi="ar"/>
              </w:rPr>
              <w:t>3</w:t>
            </w:r>
            <w:r>
              <w:rPr>
                <w:rFonts w:ascii="Times New Roman" w:hAnsi="Times New Roman"/>
                <w:kern w:val="0"/>
                <w:szCs w:val="21"/>
                <w:highlight w:val="none"/>
                <w:lang w:bidi="ar"/>
              </w:rPr>
              <w:t>年（</w:t>
            </w:r>
            <w:r>
              <w:rPr>
                <w:rFonts w:hint="eastAsia" w:ascii="Times New Roman" w:hAnsi="Times New Roman"/>
                <w:kern w:val="0"/>
                <w:szCs w:val="21"/>
                <w:highlight w:val="none"/>
                <w:lang w:bidi="ar"/>
              </w:rPr>
              <w:t>2018</w:t>
            </w:r>
            <w:r>
              <w:rPr>
                <w:rFonts w:ascii="Times New Roman" w:hAnsi="Times New Roman"/>
                <w:kern w:val="0"/>
                <w:szCs w:val="21"/>
                <w:highlight w:val="none"/>
                <w:lang w:bidi="ar"/>
              </w:rPr>
              <w:t>年1月1日至投标截止日）有至少1个数量不少于5台或者</w:t>
            </w:r>
            <w:r>
              <w:rPr>
                <w:rFonts w:hint="eastAsia" w:ascii="Times New Roman" w:hAnsi="Times New Roman"/>
                <w:kern w:val="0"/>
                <w:szCs w:val="21"/>
                <w:highlight w:val="none"/>
                <w:lang w:bidi="ar"/>
              </w:rPr>
              <w:t>至少1个合同</w:t>
            </w:r>
            <w:r>
              <w:rPr>
                <w:rFonts w:ascii="Times New Roman" w:hAnsi="Times New Roman"/>
                <w:kern w:val="0"/>
                <w:szCs w:val="21"/>
                <w:highlight w:val="none"/>
                <w:lang w:bidi="ar"/>
              </w:rPr>
              <w:t>金额不低于</w:t>
            </w:r>
            <w:r>
              <w:rPr>
                <w:rFonts w:hint="eastAsia" w:ascii="Times New Roman" w:hAnsi="Times New Roman"/>
                <w:kern w:val="0"/>
                <w:szCs w:val="21"/>
                <w:highlight w:val="none"/>
                <w:lang w:bidi="ar"/>
              </w:rPr>
              <w:t>150</w:t>
            </w:r>
            <w:r>
              <w:rPr>
                <w:rFonts w:ascii="Times New Roman" w:hAnsi="Times New Roman"/>
                <w:kern w:val="0"/>
                <w:szCs w:val="21"/>
                <w:highlight w:val="none"/>
                <w:lang w:bidi="ar"/>
              </w:rPr>
              <w:t>万元的防撞车的供货业绩。</w:t>
            </w:r>
          </w:p>
        </w:tc>
      </w:tr>
    </w:tbl>
    <w:p>
      <w:pPr>
        <w:widowControl/>
        <w:jc w:val="center"/>
        <w:rPr>
          <w:rFonts w:ascii="Times New Roman" w:hAnsi="Times New Roman" w:eastAsia="黑体"/>
          <w:kern w:val="0"/>
          <w:sz w:val="24"/>
          <w:szCs w:val="24"/>
          <w:highlight w:val="none"/>
          <w:lang w:bidi="ar"/>
        </w:rPr>
      </w:pPr>
    </w:p>
    <w:p>
      <w:pPr>
        <w:widowControl/>
        <w:jc w:val="left"/>
        <w:rPr>
          <w:rFonts w:ascii="Times New Roman" w:hAnsi="Times New Roman"/>
          <w:kern w:val="0"/>
          <w:szCs w:val="21"/>
          <w:highlight w:val="none"/>
          <w:lang w:bidi="ar"/>
        </w:rPr>
      </w:pPr>
    </w:p>
    <w:p>
      <w:pPr>
        <w:widowControl/>
        <w:spacing w:line="360" w:lineRule="auto"/>
        <w:jc w:val="both"/>
        <w:rPr>
          <w:rFonts w:ascii="Times New Roman" w:hAnsi="Times New Roman"/>
          <w:kern w:val="0"/>
          <w:szCs w:val="21"/>
          <w:highlight w:val="none"/>
          <w:lang w:bidi="ar"/>
        </w:rPr>
      </w:pPr>
      <w:r>
        <w:rPr>
          <w:rFonts w:ascii="Times New Roman" w:hAnsi="Times New Roman"/>
          <w:kern w:val="0"/>
          <w:szCs w:val="21"/>
          <w:highlight w:val="none"/>
          <w:lang w:bidi="ar"/>
        </w:rPr>
        <w:t>注：1.证明材料要求同时具备：①销售合同的</w:t>
      </w:r>
      <w:r>
        <w:rPr>
          <w:rFonts w:hint="eastAsia" w:ascii="Times New Roman" w:hAnsi="Times New Roman"/>
          <w:kern w:val="0"/>
          <w:szCs w:val="21"/>
          <w:highlight w:val="none"/>
          <w:lang w:bidi="ar"/>
        </w:rPr>
        <w:t>复印件</w:t>
      </w:r>
      <w:r>
        <w:rPr>
          <w:rFonts w:ascii="Times New Roman" w:hAnsi="Times New Roman"/>
          <w:kern w:val="0"/>
          <w:szCs w:val="21"/>
          <w:highlight w:val="none"/>
          <w:lang w:bidi="ar"/>
        </w:rPr>
        <w:t>(合同内容应能</w:t>
      </w:r>
      <w:r>
        <w:rPr>
          <w:rFonts w:hint="eastAsia" w:ascii="Times New Roman" w:hAnsi="Times New Roman"/>
          <w:kern w:val="0"/>
          <w:szCs w:val="21"/>
          <w:highlight w:val="none"/>
          <w:lang w:bidi="ar"/>
        </w:rPr>
        <w:t>反映</w:t>
      </w:r>
      <w:r>
        <w:rPr>
          <w:rFonts w:ascii="Times New Roman" w:hAnsi="Times New Roman"/>
          <w:kern w:val="0"/>
          <w:szCs w:val="21"/>
          <w:highlight w:val="none"/>
          <w:lang w:bidi="ar"/>
        </w:rPr>
        <w:t>销售数量)；②使用单位出具的货物交货证明(如验收报告或收货清单等)</w:t>
      </w:r>
      <w:r>
        <w:rPr>
          <w:rFonts w:hint="eastAsia" w:ascii="Times New Roman" w:hAnsi="Times New Roman"/>
          <w:kern w:val="0"/>
          <w:szCs w:val="21"/>
          <w:highlight w:val="none"/>
          <w:lang w:bidi="ar"/>
        </w:rPr>
        <w:t>。近3年指</w:t>
      </w:r>
      <w:r>
        <w:rPr>
          <w:rFonts w:ascii="Times New Roman" w:hAnsi="Times New Roman"/>
          <w:kern w:val="0"/>
          <w:szCs w:val="21"/>
          <w:highlight w:val="none"/>
          <w:lang w:bidi="ar"/>
        </w:rPr>
        <w:t>使用单位出具的交货证明上写明的交货时间应在</w:t>
      </w:r>
      <w:r>
        <w:rPr>
          <w:rFonts w:hint="eastAsia" w:ascii="Times New Roman" w:hAnsi="Times New Roman"/>
          <w:kern w:val="0"/>
          <w:szCs w:val="21"/>
          <w:highlight w:val="none"/>
          <w:lang w:bidi="ar"/>
        </w:rPr>
        <w:t>2018</w:t>
      </w:r>
      <w:r>
        <w:rPr>
          <w:rFonts w:ascii="Times New Roman" w:hAnsi="Times New Roman"/>
          <w:kern w:val="0"/>
          <w:szCs w:val="21"/>
          <w:highlight w:val="none"/>
          <w:lang w:bidi="ar"/>
        </w:rPr>
        <w:t>年1月1日之后。</w:t>
      </w:r>
      <w:r>
        <w:rPr>
          <w:rFonts w:hint="eastAsia" w:ascii="Times New Roman" w:hAnsi="Times New Roman"/>
          <w:kern w:val="0"/>
          <w:szCs w:val="21"/>
          <w:highlight w:val="none"/>
          <w:lang w:bidi="ar"/>
        </w:rPr>
        <w:t>提供的证明材料应能反映车辆品牌、规格等，</w:t>
      </w:r>
      <w:r>
        <w:rPr>
          <w:rFonts w:ascii="Times New Roman" w:hAnsi="Times New Roman"/>
          <w:kern w:val="0"/>
          <w:szCs w:val="21"/>
          <w:highlight w:val="none"/>
          <w:lang w:bidi="ar"/>
        </w:rPr>
        <w:t xml:space="preserve">否则该业绩将不予认可。 </w:t>
      </w:r>
    </w:p>
    <w:p>
      <w:pPr>
        <w:widowControl/>
        <w:spacing w:line="360" w:lineRule="auto"/>
        <w:jc w:val="both"/>
        <w:rPr>
          <w:rFonts w:ascii="Times New Roman" w:hAnsi="Times New Roman"/>
          <w:kern w:val="0"/>
          <w:sz w:val="24"/>
          <w:szCs w:val="24"/>
          <w:highlight w:val="none"/>
          <w:lang w:bidi="ar"/>
        </w:rPr>
      </w:pPr>
      <w:r>
        <w:rPr>
          <w:rFonts w:ascii="Times New Roman" w:hAnsi="Times New Roman"/>
          <w:kern w:val="0"/>
          <w:szCs w:val="21"/>
          <w:highlight w:val="none"/>
          <w:lang w:bidi="ar"/>
        </w:rPr>
        <w:t>2. 投标人为制造厂商的授权经销商/代理商的，授权的制造厂商提供的销售业绩可予以认定。</w:t>
      </w:r>
    </w:p>
    <w:p>
      <w:pPr>
        <w:widowControl/>
        <w:jc w:val="left"/>
        <w:rPr>
          <w:rFonts w:ascii="Times New Roman" w:hAnsi="Times New Roman"/>
          <w:kern w:val="0"/>
          <w:sz w:val="24"/>
          <w:szCs w:val="24"/>
          <w:highlight w:val="none"/>
          <w:lang w:bidi="ar"/>
        </w:rPr>
      </w:pPr>
    </w:p>
    <w:p>
      <w:pPr>
        <w:widowControl/>
        <w:jc w:val="center"/>
        <w:rPr>
          <w:rFonts w:ascii="Times New Roman" w:hAnsi="Times New Roman"/>
          <w:highlight w:val="none"/>
        </w:rPr>
      </w:pPr>
      <w:r>
        <w:rPr>
          <w:rFonts w:ascii="Times New Roman" w:hAnsi="Times New Roman" w:eastAsia="黑体"/>
          <w:kern w:val="0"/>
          <w:sz w:val="24"/>
          <w:szCs w:val="24"/>
          <w:highlight w:val="none"/>
          <w:lang w:bidi="ar"/>
        </w:rPr>
        <w:t>资格审查强制性资格条件</w:t>
      </w:r>
      <w:r>
        <w:rPr>
          <w:rFonts w:ascii="Times New Roman" w:hAnsi="Times New Roman"/>
          <w:kern w:val="0"/>
          <w:sz w:val="24"/>
          <w:szCs w:val="24"/>
          <w:highlight w:val="none"/>
          <w:lang w:bidi="ar"/>
        </w:rPr>
        <w:t>(财务最低要求)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ind w:firstLine="840" w:firstLineChars="400"/>
              <w:jc w:val="center"/>
              <w:rPr>
                <w:rFonts w:ascii="Times New Roman" w:hAnsi="Times New Roman"/>
                <w:kern w:val="0"/>
                <w:szCs w:val="21"/>
                <w:highlight w:val="none"/>
              </w:rPr>
            </w:pPr>
            <w:r>
              <w:rPr>
                <w:rFonts w:ascii="Times New Roman" w:hAnsi="Times New Roman"/>
                <w:kern w:val="0"/>
                <w:szCs w:val="21"/>
                <w:highlight w:val="none"/>
                <w:lang w:bidi="ar"/>
              </w:rPr>
              <w:t>最低财务要求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1544" w:type="dxa"/>
            <w:noWrap w:val="0"/>
            <w:vAlign w:val="center"/>
          </w:tcPr>
          <w:p>
            <w:pPr>
              <w:widowControl/>
              <w:jc w:val="center"/>
              <w:rPr>
                <w:rFonts w:hint="eastAsia" w:ascii="Times New Roman" w:hAnsi="Times New Roman"/>
                <w:kern w:val="0"/>
                <w:szCs w:val="21"/>
                <w:highlight w:val="none"/>
              </w:rPr>
            </w:pPr>
            <w:r>
              <w:rPr>
                <w:rFonts w:hint="eastAsia" w:ascii="Times New Roman" w:hAnsi="Times New Roman"/>
                <w:kern w:val="0"/>
                <w:szCs w:val="21"/>
                <w:highlight w:val="none"/>
                <w:lang w:bidi="ar"/>
              </w:rPr>
              <w:t>FZC-1</w:t>
            </w:r>
          </w:p>
        </w:tc>
        <w:tc>
          <w:tcPr>
            <w:tcW w:w="6978" w:type="dxa"/>
            <w:noWrap w:val="0"/>
            <w:vAlign w:val="center"/>
          </w:tcPr>
          <w:p>
            <w:pPr>
              <w:widowControl/>
              <w:spacing w:line="480" w:lineRule="exact"/>
              <w:jc w:val="left"/>
              <w:rPr>
                <w:rFonts w:hint="eastAsia" w:ascii="Times New Roman" w:hAnsi="Times New Roman"/>
                <w:kern w:val="0"/>
                <w:szCs w:val="21"/>
                <w:highlight w:val="none"/>
              </w:rPr>
            </w:pPr>
            <w:r>
              <w:rPr>
                <w:rFonts w:hint="eastAsia" w:ascii="Times New Roman" w:hAnsi="Times New Roman"/>
                <w:kern w:val="0"/>
                <w:szCs w:val="21"/>
                <w:highlight w:val="none"/>
              </w:rPr>
              <w:t>第一种方式：</w:t>
            </w:r>
          </w:p>
          <w:p>
            <w:pPr>
              <w:widowControl/>
              <w:spacing w:line="480" w:lineRule="exact"/>
              <w:jc w:val="left"/>
              <w:rPr>
                <w:rFonts w:hint="eastAsia" w:ascii="Times New Roman" w:hAnsi="Times New Roman"/>
                <w:kern w:val="0"/>
                <w:szCs w:val="21"/>
                <w:highlight w:val="none"/>
              </w:rPr>
            </w:pPr>
            <w:r>
              <w:rPr>
                <w:rFonts w:hint="eastAsia" w:ascii="Times New Roman" w:hAnsi="Times New Roman"/>
                <w:kern w:val="0"/>
                <w:szCs w:val="21"/>
                <w:highlight w:val="none"/>
              </w:rPr>
              <w:t>近3年每年的营业收入不少于2000万元</w:t>
            </w:r>
            <w:r>
              <w:rPr>
                <w:rFonts w:hint="eastAsia" w:ascii="Times New Roman" w:hAnsi="Times New Roman"/>
                <w:kern w:val="0"/>
                <w:szCs w:val="21"/>
                <w:highlight w:val="none"/>
                <w:lang w:val="en-US" w:eastAsia="zh-CN"/>
              </w:rPr>
              <w:t>且</w:t>
            </w:r>
            <w:r>
              <w:rPr>
                <w:rFonts w:hint="eastAsia" w:ascii="Times New Roman" w:hAnsi="Times New Roman"/>
                <w:kern w:val="0"/>
                <w:szCs w:val="21"/>
                <w:highlight w:val="none"/>
              </w:rPr>
              <w:t>近3年每年的净资产不少于500万元。</w:t>
            </w:r>
          </w:p>
          <w:p>
            <w:pPr>
              <w:widowControl/>
              <w:spacing w:line="480" w:lineRule="exact"/>
              <w:jc w:val="left"/>
              <w:rPr>
                <w:rFonts w:hint="eastAsia" w:ascii="Times New Roman" w:hAnsi="Times New Roman"/>
                <w:kern w:val="0"/>
                <w:szCs w:val="21"/>
                <w:highlight w:val="none"/>
              </w:rPr>
            </w:pPr>
            <w:r>
              <w:rPr>
                <w:rFonts w:hint="eastAsia" w:ascii="Times New Roman" w:hAnsi="Times New Roman"/>
                <w:kern w:val="0"/>
                <w:szCs w:val="21"/>
                <w:highlight w:val="none"/>
              </w:rPr>
              <w:t>第二种方式：</w:t>
            </w:r>
          </w:p>
          <w:p>
            <w:pPr>
              <w:widowControl/>
              <w:spacing w:line="480" w:lineRule="exact"/>
              <w:jc w:val="left"/>
              <w:rPr>
                <w:rFonts w:hint="eastAsia" w:ascii="Times New Roman" w:hAnsi="Times New Roman"/>
                <w:kern w:val="0"/>
                <w:szCs w:val="21"/>
                <w:highlight w:val="none"/>
              </w:rPr>
            </w:pPr>
            <w:r>
              <w:rPr>
                <w:rFonts w:hint="eastAsia" w:ascii="Times New Roman" w:hAnsi="Times New Roman"/>
                <w:kern w:val="0"/>
                <w:szCs w:val="21"/>
                <w:highlight w:val="none"/>
              </w:rPr>
              <w:t>由银行出具申请日前3个月内（2021年5、6、7月）的单位账户流水证明，3个月月末账户余额的平均值不少于50万元。</w:t>
            </w:r>
          </w:p>
          <w:p>
            <w:pPr>
              <w:widowControl/>
              <w:spacing w:line="480" w:lineRule="exact"/>
              <w:jc w:val="left"/>
              <w:rPr>
                <w:rFonts w:ascii="Times New Roman" w:hAnsi="Times New Roman"/>
                <w:kern w:val="0"/>
                <w:szCs w:val="21"/>
                <w:highlight w:val="none"/>
              </w:rPr>
            </w:pPr>
            <w:r>
              <w:rPr>
                <w:rFonts w:hint="eastAsia" w:ascii="Times New Roman" w:hAnsi="Times New Roman"/>
                <w:kern w:val="0"/>
                <w:szCs w:val="21"/>
                <w:highlight w:val="none"/>
              </w:rPr>
              <w:t>上述两种方式满足其中一种即可。</w:t>
            </w:r>
          </w:p>
        </w:tc>
      </w:tr>
    </w:tbl>
    <w:p>
      <w:pPr>
        <w:widowControl/>
        <w:jc w:val="both"/>
        <w:rPr>
          <w:rFonts w:ascii="Times New Roman" w:hAnsi="Times New Roman"/>
          <w:kern w:val="0"/>
          <w:szCs w:val="21"/>
          <w:highlight w:val="none"/>
          <w:lang w:bidi="ar"/>
        </w:rPr>
      </w:pPr>
    </w:p>
    <w:p>
      <w:pPr>
        <w:widowControl/>
        <w:jc w:val="both"/>
        <w:rPr>
          <w:rFonts w:hint="default" w:ascii="Times New Roman" w:hAnsi="Times New Roman" w:eastAsia="宋体" w:cs="Times New Roman"/>
          <w:kern w:val="0"/>
          <w:sz w:val="21"/>
          <w:szCs w:val="21"/>
          <w:highlight w:val="none"/>
          <w:lang w:bidi="ar"/>
        </w:rPr>
      </w:pPr>
      <w:r>
        <w:rPr>
          <w:rFonts w:hint="default" w:ascii="Times New Roman" w:hAnsi="Times New Roman" w:eastAsia="宋体" w:cs="Times New Roman"/>
          <w:kern w:val="0"/>
          <w:sz w:val="21"/>
          <w:szCs w:val="21"/>
          <w:highlight w:val="none"/>
          <w:lang w:bidi="ar"/>
        </w:rPr>
        <w:t>注：1.采用第一种方式的投标人的成立时间少于上述规定年份的，以成立以来的年平均营业收入认定（提供相应年份的经会计师事务所或审计机构审计的财务会计报表，无相应财务会计报表的不予认可）。</w:t>
      </w:r>
    </w:p>
    <w:p>
      <w:pPr>
        <w:widowControl/>
        <w:ind w:firstLine="210" w:firstLineChars="100"/>
        <w:rPr>
          <w:rFonts w:hint="default" w:ascii="Times New Roman" w:hAnsi="Times New Roman" w:eastAsia="宋体" w:cs="Times New Roman"/>
          <w:kern w:val="0"/>
          <w:sz w:val="21"/>
          <w:szCs w:val="21"/>
          <w:highlight w:val="none"/>
          <w:lang w:bidi="ar"/>
        </w:rPr>
      </w:pPr>
      <w:r>
        <w:rPr>
          <w:rFonts w:hint="default" w:ascii="Times New Roman" w:hAnsi="Times New Roman" w:eastAsia="宋体" w:cs="Times New Roman"/>
          <w:kern w:val="0"/>
          <w:sz w:val="21"/>
          <w:szCs w:val="21"/>
          <w:highlight w:val="none"/>
          <w:lang w:bidi="ar"/>
        </w:rPr>
        <w:t>2.采用第二种方式应附银行出具（须银行盖章）申请日前3个月内的单位账户流水证明。</w:t>
      </w:r>
    </w:p>
    <w:p>
      <w:pPr>
        <w:widowControl/>
        <w:ind w:firstLine="210" w:firstLineChars="100"/>
        <w:rPr>
          <w:rFonts w:ascii="Times New Roman" w:hAnsi="Times New Roman" w:eastAsia="宋体" w:cs="Times New Roman"/>
          <w:kern w:val="0"/>
          <w:sz w:val="21"/>
          <w:szCs w:val="21"/>
          <w:highlight w:val="none"/>
          <w:lang w:bidi="ar"/>
        </w:rPr>
      </w:pPr>
      <w:r>
        <w:rPr>
          <w:rFonts w:hint="default" w:ascii="Times New Roman" w:hAnsi="Times New Roman" w:eastAsia="宋体" w:cs="Times New Roman"/>
          <w:kern w:val="0"/>
          <w:sz w:val="21"/>
          <w:szCs w:val="21"/>
          <w:highlight w:val="none"/>
          <w:lang w:bidi="ar"/>
        </w:rPr>
        <w:t>3.近3年是指：2018，2019，2020年。</w:t>
      </w:r>
    </w:p>
    <w:p>
      <w:pPr>
        <w:widowControl/>
        <w:jc w:val="both"/>
        <w:rPr>
          <w:rFonts w:ascii="Times New Roman" w:hAnsi="Times New Roman" w:eastAsia="黑体"/>
          <w:kern w:val="0"/>
          <w:sz w:val="24"/>
          <w:szCs w:val="24"/>
          <w:highlight w:val="none"/>
          <w:lang w:bidi="ar"/>
        </w:rPr>
      </w:pPr>
    </w:p>
    <w:p>
      <w:pPr>
        <w:jc w:val="center"/>
        <w:rPr>
          <w:rFonts w:ascii="Times New Roman" w:hAnsi="Times New Roman"/>
          <w:highlight w:val="none"/>
        </w:rPr>
      </w:pPr>
      <w:r>
        <w:rPr>
          <w:rFonts w:ascii="Times New Roman" w:hAnsi="Times New Roman" w:eastAsia="黑体"/>
          <w:kern w:val="0"/>
          <w:sz w:val="24"/>
          <w:szCs w:val="24"/>
          <w:highlight w:val="none"/>
          <w:lang w:bidi="ar"/>
        </w:rPr>
        <w:t>资格审查强制性资格条件</w:t>
      </w:r>
      <w:r>
        <w:rPr>
          <w:rFonts w:ascii="Times New Roman" w:hAnsi="Times New Roman"/>
          <w:kern w:val="0"/>
          <w:sz w:val="24"/>
          <w:szCs w:val="24"/>
          <w:highlight w:val="none"/>
          <w:lang w:bidi="ar"/>
        </w:rPr>
        <w:t>(信誉最低要求)</w:t>
      </w:r>
    </w:p>
    <w:tbl>
      <w:tblPr>
        <w:tblStyle w:val="5"/>
        <w:tblpPr w:leftFromText="180" w:rightFromText="180" w:vertAnchor="text" w:horzAnchor="page" w:tblpX="1775"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4" w:type="dxa"/>
            <w:noWrap w:val="0"/>
            <w:vAlign w:val="center"/>
          </w:tcPr>
          <w:p>
            <w:pPr>
              <w:widowControl/>
              <w:jc w:val="center"/>
              <w:rPr>
                <w:rFonts w:ascii="Times New Roman" w:hAnsi="Times New Roman"/>
                <w:kern w:val="0"/>
                <w:szCs w:val="21"/>
                <w:highlight w:val="none"/>
              </w:rPr>
            </w:pPr>
            <w:r>
              <w:rPr>
                <w:rFonts w:ascii="Times New Roman" w:hAnsi="Times New Roman"/>
                <w:kern w:val="0"/>
                <w:szCs w:val="21"/>
                <w:highlight w:val="none"/>
                <w:lang w:bidi="ar"/>
              </w:rPr>
              <w:t>标段号</w:t>
            </w:r>
          </w:p>
        </w:tc>
        <w:tc>
          <w:tcPr>
            <w:tcW w:w="6978" w:type="dxa"/>
            <w:noWrap w:val="0"/>
            <w:vAlign w:val="center"/>
          </w:tcPr>
          <w:p>
            <w:pPr>
              <w:widowControl/>
              <w:ind w:firstLine="840" w:firstLineChars="400"/>
              <w:jc w:val="center"/>
              <w:rPr>
                <w:rFonts w:ascii="Times New Roman" w:hAnsi="Times New Roman"/>
                <w:kern w:val="0"/>
                <w:szCs w:val="21"/>
                <w:highlight w:val="none"/>
              </w:rPr>
            </w:pPr>
            <w:r>
              <w:rPr>
                <w:rFonts w:ascii="Times New Roman" w:hAnsi="Times New Roman"/>
                <w:kern w:val="0"/>
                <w:szCs w:val="21"/>
                <w:highlight w:val="none"/>
                <w:lang w:bidi="ar"/>
              </w:rPr>
              <w:t>最低信誉要求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7" w:hRule="atLeast"/>
        </w:trPr>
        <w:tc>
          <w:tcPr>
            <w:tcW w:w="1544" w:type="dxa"/>
            <w:noWrap w:val="0"/>
            <w:vAlign w:val="center"/>
          </w:tcPr>
          <w:p>
            <w:pPr>
              <w:widowControl/>
              <w:jc w:val="center"/>
              <w:rPr>
                <w:rFonts w:hint="eastAsia" w:ascii="Times New Roman" w:hAnsi="Times New Roman"/>
                <w:kern w:val="0"/>
                <w:szCs w:val="21"/>
                <w:highlight w:val="none"/>
              </w:rPr>
            </w:pPr>
            <w:r>
              <w:rPr>
                <w:rFonts w:hint="eastAsia" w:ascii="Times New Roman" w:hAnsi="Times New Roman"/>
                <w:kern w:val="0"/>
                <w:szCs w:val="21"/>
                <w:highlight w:val="none"/>
                <w:lang w:bidi="ar"/>
              </w:rPr>
              <w:t>FZC-1</w:t>
            </w:r>
          </w:p>
          <w:p>
            <w:pPr>
              <w:rPr>
                <w:rFonts w:ascii="Times New Roman" w:hAnsi="Times New Roman"/>
                <w:kern w:val="0"/>
                <w:szCs w:val="21"/>
                <w:highlight w:val="none"/>
              </w:rPr>
            </w:pPr>
          </w:p>
        </w:tc>
        <w:tc>
          <w:tcPr>
            <w:tcW w:w="6978" w:type="dxa"/>
            <w:noWrap w:val="0"/>
            <w:vAlign w:val="center"/>
          </w:tcPr>
          <w:p>
            <w:pPr>
              <w:widowControl/>
              <w:spacing w:line="480" w:lineRule="exact"/>
              <w:jc w:val="left"/>
              <w:rPr>
                <w:rFonts w:ascii="Times New Roman" w:hAnsi="Times New Roman"/>
                <w:kern w:val="0"/>
                <w:szCs w:val="21"/>
                <w:highlight w:val="none"/>
                <w:lang w:bidi="ar"/>
              </w:rPr>
            </w:pPr>
            <w:r>
              <w:rPr>
                <w:rFonts w:hint="eastAsia" w:ascii="Times New Roman" w:hAnsi="Times New Roman"/>
                <w:kern w:val="0"/>
                <w:szCs w:val="21"/>
                <w:highlight w:val="none"/>
                <w:lang w:bidi="ar"/>
              </w:rPr>
              <w:t>不得存在下列情形：</w:t>
            </w:r>
          </w:p>
          <w:p>
            <w:pPr>
              <w:widowControl/>
              <w:spacing w:line="480" w:lineRule="exact"/>
              <w:jc w:val="left"/>
              <w:rPr>
                <w:rFonts w:ascii="Times New Roman" w:hAnsi="Times New Roman"/>
                <w:kern w:val="0"/>
                <w:szCs w:val="21"/>
                <w:highlight w:val="none"/>
                <w:lang w:bidi="ar"/>
              </w:rPr>
            </w:pPr>
            <w:r>
              <w:rPr>
                <w:rFonts w:hint="eastAsia" w:ascii="Times New Roman" w:hAnsi="Times New Roman"/>
                <w:kern w:val="0"/>
                <w:szCs w:val="21"/>
                <w:highlight w:val="none"/>
                <w:lang w:bidi="ar"/>
              </w:rPr>
              <w:t>（1）被依法暂停或者取消投标资格；</w:t>
            </w:r>
          </w:p>
          <w:p>
            <w:pPr>
              <w:widowControl/>
              <w:spacing w:line="480" w:lineRule="exact"/>
              <w:jc w:val="left"/>
              <w:rPr>
                <w:rFonts w:ascii="Times New Roman" w:hAnsi="Times New Roman"/>
                <w:kern w:val="0"/>
                <w:szCs w:val="21"/>
                <w:highlight w:val="none"/>
                <w:lang w:bidi="ar"/>
              </w:rPr>
            </w:pPr>
            <w:r>
              <w:rPr>
                <w:rFonts w:hint="eastAsia" w:ascii="Times New Roman" w:hAnsi="Times New Roman"/>
                <w:kern w:val="0"/>
                <w:szCs w:val="21"/>
                <w:highlight w:val="none"/>
                <w:lang w:bidi="ar"/>
              </w:rPr>
              <w:t>（2）被责令停产停业，暂扣或者吊销许可证，暂扣或者吊销执照；</w:t>
            </w:r>
          </w:p>
          <w:p>
            <w:pPr>
              <w:widowControl/>
              <w:spacing w:line="480" w:lineRule="exact"/>
              <w:jc w:val="left"/>
              <w:rPr>
                <w:rFonts w:ascii="Times New Roman" w:hAnsi="Times New Roman"/>
                <w:kern w:val="0"/>
                <w:szCs w:val="21"/>
                <w:highlight w:val="none"/>
                <w:lang w:bidi="ar"/>
              </w:rPr>
            </w:pPr>
            <w:r>
              <w:rPr>
                <w:rFonts w:hint="eastAsia" w:ascii="Times New Roman" w:hAnsi="Times New Roman"/>
                <w:kern w:val="0"/>
                <w:szCs w:val="21"/>
                <w:highlight w:val="none"/>
                <w:lang w:bidi="ar"/>
              </w:rPr>
              <w:t>（3）进入清算程序，或被宣告破产，或其他丧失履约能力的情形；</w:t>
            </w:r>
          </w:p>
          <w:p>
            <w:pPr>
              <w:widowControl/>
              <w:spacing w:line="480" w:lineRule="exact"/>
              <w:jc w:val="left"/>
              <w:rPr>
                <w:rFonts w:ascii="Times New Roman" w:hAnsi="Times New Roman"/>
                <w:kern w:val="0"/>
                <w:szCs w:val="21"/>
                <w:highlight w:val="none"/>
                <w:lang w:bidi="ar"/>
              </w:rPr>
            </w:pPr>
            <w:r>
              <w:rPr>
                <w:rFonts w:hint="eastAsia" w:ascii="Times New Roman" w:hAnsi="Times New Roman"/>
                <w:kern w:val="0"/>
                <w:szCs w:val="21"/>
                <w:highlight w:val="none"/>
                <w:lang w:bidi="ar"/>
              </w:rPr>
              <w:t>（4）在近三年内发生重大产品质量问题（以相关行业主管部门的行政处罚决定或司法机关出具的有关法律文书为准）；</w:t>
            </w:r>
          </w:p>
          <w:p>
            <w:pPr>
              <w:widowControl/>
              <w:spacing w:line="480" w:lineRule="exact"/>
              <w:jc w:val="left"/>
              <w:rPr>
                <w:rFonts w:ascii="Times New Roman" w:hAnsi="Times New Roman"/>
                <w:kern w:val="0"/>
                <w:szCs w:val="21"/>
                <w:highlight w:val="none"/>
                <w:lang w:bidi="ar"/>
              </w:rPr>
            </w:pPr>
            <w:r>
              <w:rPr>
                <w:rFonts w:hint="eastAsia" w:ascii="Times New Roman" w:hAnsi="Times New Roman"/>
                <w:kern w:val="0"/>
                <w:szCs w:val="21"/>
                <w:highlight w:val="none"/>
                <w:lang w:bidi="ar"/>
              </w:rPr>
              <w:t>（5）被工商行政管理机关在全国企业信用信息公示系统中列入严重违法失信企业名单；</w:t>
            </w:r>
          </w:p>
          <w:p>
            <w:pPr>
              <w:widowControl/>
              <w:spacing w:line="480" w:lineRule="exact"/>
              <w:jc w:val="left"/>
              <w:rPr>
                <w:rFonts w:ascii="Times New Roman" w:hAnsi="Times New Roman"/>
                <w:kern w:val="0"/>
                <w:szCs w:val="21"/>
                <w:highlight w:val="none"/>
                <w:lang w:bidi="ar"/>
              </w:rPr>
            </w:pPr>
            <w:r>
              <w:rPr>
                <w:rFonts w:hint="eastAsia" w:ascii="Times New Roman" w:hAnsi="Times New Roman"/>
                <w:kern w:val="0"/>
                <w:szCs w:val="21"/>
                <w:highlight w:val="none"/>
                <w:lang w:bidi="ar"/>
              </w:rPr>
              <w:t>（6）在“信用中国”网站（www.creditchina.gov.cn）列入失信被执行人名单；</w:t>
            </w:r>
          </w:p>
          <w:p>
            <w:pPr>
              <w:widowControl/>
              <w:spacing w:line="480" w:lineRule="exact"/>
              <w:jc w:val="left"/>
              <w:rPr>
                <w:rFonts w:ascii="Times New Roman" w:hAnsi="Times New Roman"/>
                <w:kern w:val="0"/>
                <w:szCs w:val="21"/>
                <w:highlight w:val="none"/>
              </w:rPr>
            </w:pPr>
            <w:r>
              <w:rPr>
                <w:rFonts w:hint="eastAsia" w:ascii="Times New Roman" w:hAnsi="Times New Roman"/>
                <w:kern w:val="0"/>
                <w:szCs w:val="21"/>
                <w:highlight w:val="none"/>
                <w:lang w:bidi="ar"/>
              </w:rPr>
              <w:t>（7）在近三年内投标人或其法定代表人有行贿犯罪行为的。</w:t>
            </w:r>
          </w:p>
        </w:tc>
      </w:tr>
    </w:tbl>
    <w:p>
      <w:pPr>
        <w:widowControl/>
        <w:jc w:val="left"/>
        <w:rPr>
          <w:rFonts w:ascii="Times New Roman" w:hAnsi="Times New Roman"/>
          <w:kern w:val="0"/>
          <w:sz w:val="24"/>
          <w:highlight w:val="none"/>
          <w:lang w:bidi="ar"/>
        </w:rPr>
      </w:pPr>
    </w:p>
    <w:p>
      <w:pPr>
        <w:widowControl/>
        <w:jc w:val="left"/>
        <w:rPr>
          <w:rFonts w:ascii="Times New Roman" w:hAnsi="Times New Roman"/>
          <w:kern w:val="0"/>
          <w:sz w:val="24"/>
          <w:highlight w:val="none"/>
          <w:lang w:bidi="ar"/>
        </w:rPr>
        <w:sectPr>
          <w:pgSz w:w="12240" w:h="15840"/>
          <w:pgMar w:top="1440" w:right="1800" w:bottom="1440" w:left="1800" w:header="720" w:footer="720" w:gutter="0"/>
          <w:cols w:space="720" w:num="1"/>
          <w:docGrid w:linePitch="285" w:charSpace="0"/>
        </w:sectPr>
      </w:pPr>
    </w:p>
    <w:p>
      <w:pPr>
        <w:widowControl/>
        <w:jc w:val="left"/>
        <w:rPr>
          <w:rFonts w:ascii="Times New Roman" w:hAnsi="Times New Roman"/>
          <w:kern w:val="0"/>
          <w:sz w:val="24"/>
          <w:highlight w:val="none"/>
          <w:lang w:bidi="ar"/>
        </w:rPr>
      </w:pPr>
    </w:p>
    <w:p>
      <w:pPr>
        <w:rPr>
          <w:rFonts w:ascii="Times New Roman" w:hAnsi="Times New Roman"/>
          <w:highlight w:val="none"/>
        </w:rPr>
      </w:pPr>
      <w:r>
        <w:rPr>
          <w:rFonts w:ascii="Times New Roman" w:hAnsi="Times New Roman" w:eastAsia="黑体"/>
          <w:kern w:val="0"/>
          <w:sz w:val="24"/>
          <w:szCs w:val="24"/>
          <w:highlight w:val="none"/>
          <w:lang w:bidi="ar"/>
        </w:rPr>
        <w:t>附件2</w:t>
      </w:r>
    </w:p>
    <w:p>
      <w:pPr>
        <w:jc w:val="center"/>
        <w:rPr>
          <w:rFonts w:ascii="Times New Roman" w:hAnsi="Times New Roman"/>
          <w:sz w:val="44"/>
          <w:szCs w:val="44"/>
          <w:highlight w:val="none"/>
        </w:rPr>
      </w:pPr>
      <w:r>
        <w:rPr>
          <w:rFonts w:ascii="Times New Roman" w:hAnsi="Times New Roman"/>
          <w:sz w:val="36"/>
          <w:szCs w:val="36"/>
          <w:highlight w:val="none"/>
        </w:rPr>
        <w:t>设备采购清单</w:t>
      </w:r>
    </w:p>
    <w:tbl>
      <w:tblPr>
        <w:tblStyle w:val="5"/>
        <w:tblW w:w="12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495"/>
        <w:gridCol w:w="1504"/>
        <w:gridCol w:w="1691"/>
        <w:gridCol w:w="1228"/>
        <w:gridCol w:w="1350"/>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93" w:type="dxa"/>
            <w:noWrap w:val="0"/>
            <w:vAlign w:val="center"/>
          </w:tcPr>
          <w:p>
            <w:pPr>
              <w:jc w:val="center"/>
              <w:rPr>
                <w:rFonts w:ascii="Times New Roman" w:hAnsi="Times New Roman"/>
                <w:kern w:val="0"/>
                <w:szCs w:val="21"/>
                <w:highlight w:val="none"/>
              </w:rPr>
            </w:pPr>
            <w:r>
              <w:rPr>
                <w:rFonts w:ascii="Times New Roman" w:hAnsi="Times New Roman"/>
                <w:kern w:val="0"/>
                <w:szCs w:val="21"/>
                <w:highlight w:val="none"/>
              </w:rPr>
              <w:t>货物名称</w:t>
            </w:r>
          </w:p>
        </w:tc>
        <w:tc>
          <w:tcPr>
            <w:tcW w:w="1495" w:type="dxa"/>
            <w:noWrap w:val="0"/>
            <w:vAlign w:val="center"/>
          </w:tcPr>
          <w:p>
            <w:pPr>
              <w:jc w:val="center"/>
              <w:rPr>
                <w:rFonts w:ascii="Times New Roman" w:hAnsi="Times New Roman"/>
                <w:kern w:val="0"/>
                <w:szCs w:val="21"/>
                <w:highlight w:val="none"/>
              </w:rPr>
            </w:pPr>
            <w:r>
              <w:rPr>
                <w:rFonts w:hint="eastAsia" w:ascii="Times New Roman" w:hAnsi="Times New Roman"/>
                <w:kern w:val="0"/>
                <w:szCs w:val="21"/>
                <w:highlight w:val="none"/>
              </w:rPr>
              <w:t>系统组成</w:t>
            </w:r>
          </w:p>
        </w:tc>
        <w:tc>
          <w:tcPr>
            <w:tcW w:w="1504"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单位</w:t>
            </w:r>
          </w:p>
        </w:tc>
        <w:tc>
          <w:tcPr>
            <w:tcW w:w="1691" w:type="dxa"/>
            <w:noWrap w:val="0"/>
            <w:vAlign w:val="center"/>
          </w:tcPr>
          <w:p>
            <w:pPr>
              <w:jc w:val="center"/>
              <w:rPr>
                <w:rFonts w:ascii="Times New Roman" w:hAnsi="Times New Roman"/>
                <w:kern w:val="0"/>
                <w:szCs w:val="21"/>
                <w:highlight w:val="none"/>
              </w:rPr>
            </w:pPr>
            <w:r>
              <w:rPr>
                <w:rFonts w:hint="eastAsia" w:ascii="Times New Roman" w:hAnsi="Times New Roman"/>
                <w:kern w:val="0"/>
                <w:szCs w:val="21"/>
                <w:highlight w:val="none"/>
              </w:rPr>
              <w:t>系统最低组成数量</w:t>
            </w:r>
          </w:p>
        </w:tc>
        <w:tc>
          <w:tcPr>
            <w:tcW w:w="1228" w:type="dxa"/>
            <w:noWrap w:val="0"/>
            <w:vAlign w:val="center"/>
          </w:tcPr>
          <w:p>
            <w:pPr>
              <w:jc w:val="center"/>
              <w:rPr>
                <w:rFonts w:ascii="Times New Roman" w:hAnsi="Times New Roman"/>
                <w:kern w:val="0"/>
                <w:szCs w:val="21"/>
                <w:highlight w:val="none"/>
              </w:rPr>
            </w:pPr>
            <w:r>
              <w:rPr>
                <w:rFonts w:hint="eastAsia" w:ascii="Times New Roman" w:hAnsi="Times New Roman"/>
                <w:kern w:val="0"/>
                <w:szCs w:val="21"/>
                <w:highlight w:val="none"/>
              </w:rPr>
              <w:t>采购数量（套）</w:t>
            </w:r>
          </w:p>
        </w:tc>
        <w:tc>
          <w:tcPr>
            <w:tcW w:w="1350" w:type="dxa"/>
            <w:noWrap w:val="0"/>
            <w:vAlign w:val="center"/>
          </w:tcPr>
          <w:p>
            <w:pPr>
              <w:jc w:val="center"/>
              <w:rPr>
                <w:rFonts w:ascii="Times New Roman" w:hAnsi="Times New Roman"/>
                <w:kern w:val="0"/>
                <w:szCs w:val="21"/>
                <w:highlight w:val="none"/>
              </w:rPr>
            </w:pPr>
            <w:r>
              <w:rPr>
                <w:rFonts w:ascii="Times New Roman" w:hAnsi="Times New Roman"/>
                <w:kern w:val="0"/>
                <w:szCs w:val="21"/>
                <w:highlight w:val="none"/>
              </w:rPr>
              <w:t>最高限价（万元</w:t>
            </w:r>
            <w:r>
              <w:rPr>
                <w:rFonts w:hint="eastAsia" w:ascii="Times New Roman" w:hAnsi="Times New Roman"/>
                <w:kern w:val="0"/>
                <w:szCs w:val="21"/>
                <w:highlight w:val="none"/>
              </w:rPr>
              <w:t>/套</w:t>
            </w:r>
            <w:r>
              <w:rPr>
                <w:rFonts w:ascii="Times New Roman" w:hAnsi="Times New Roman"/>
                <w:kern w:val="0"/>
                <w:szCs w:val="21"/>
                <w:highlight w:val="none"/>
              </w:rPr>
              <w:t>）</w:t>
            </w:r>
          </w:p>
        </w:tc>
        <w:tc>
          <w:tcPr>
            <w:tcW w:w="3403" w:type="dxa"/>
            <w:noWrap w:val="0"/>
            <w:vAlign w:val="center"/>
          </w:tcPr>
          <w:p>
            <w:pPr>
              <w:jc w:val="center"/>
              <w:rPr>
                <w:rFonts w:ascii="Times New Roman" w:hAnsi="Times New Roman"/>
                <w:kern w:val="0"/>
                <w:szCs w:val="21"/>
                <w:highlight w:val="none"/>
              </w:rPr>
            </w:pPr>
            <w:r>
              <w:rPr>
                <w:rFonts w:hint="eastAsia" w:ascii="Times New Roman" w:hAnsi="Times New Roman"/>
                <w:kern w:val="0"/>
                <w:szCs w:val="21"/>
                <w:highlight w:val="none"/>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393" w:type="dxa"/>
            <w:vMerge w:val="restart"/>
            <w:noWrap w:val="0"/>
            <w:vAlign w:val="center"/>
          </w:tcPr>
          <w:p>
            <w:pPr>
              <w:jc w:val="center"/>
              <w:rPr>
                <w:rFonts w:ascii="Times New Roman" w:hAnsi="Times New Roman"/>
                <w:kern w:val="0"/>
                <w:szCs w:val="21"/>
                <w:highlight w:val="none"/>
              </w:rPr>
            </w:pPr>
            <w:r>
              <w:rPr>
                <w:rFonts w:hint="eastAsia" w:ascii="Times New Roman" w:hAnsi="Times New Roman"/>
                <w:kern w:val="0"/>
                <w:szCs w:val="21"/>
                <w:highlight w:val="none"/>
              </w:rPr>
              <w:t>防撞车系统</w:t>
            </w:r>
          </w:p>
          <w:p>
            <w:pPr>
              <w:jc w:val="left"/>
              <w:rPr>
                <w:rFonts w:ascii="Times New Roman" w:hAnsi="Times New Roman"/>
                <w:kern w:val="0"/>
                <w:szCs w:val="21"/>
                <w:highlight w:val="none"/>
              </w:rPr>
            </w:pPr>
          </w:p>
        </w:tc>
        <w:tc>
          <w:tcPr>
            <w:tcW w:w="1495" w:type="dxa"/>
            <w:noWrap w:val="0"/>
            <w:vAlign w:val="center"/>
          </w:tcPr>
          <w:p>
            <w:pPr>
              <w:spacing w:line="420" w:lineRule="exact"/>
              <w:jc w:val="left"/>
              <w:rPr>
                <w:rFonts w:ascii="Times New Roman" w:hAnsi="Times New Roman"/>
                <w:kern w:val="0"/>
                <w:szCs w:val="21"/>
                <w:highlight w:val="none"/>
              </w:rPr>
            </w:pPr>
            <w:r>
              <w:rPr>
                <w:rFonts w:hint="eastAsia" w:ascii="Times New Roman" w:hAnsi="Times New Roman"/>
                <w:kern w:val="0"/>
                <w:szCs w:val="21"/>
                <w:highlight w:val="none"/>
              </w:rPr>
              <w:t>防撞车（</w:t>
            </w:r>
            <w:r>
              <w:rPr>
                <w:rFonts w:hint="eastAsia" w:ascii="Times New Roman" w:hAnsi="Times New Roman"/>
                <w:kern w:val="0"/>
                <w:sz w:val="20"/>
                <w:szCs w:val="20"/>
                <w:highlight w:val="none"/>
              </w:rPr>
              <w:t>100型</w:t>
            </w:r>
            <w:r>
              <w:rPr>
                <w:rFonts w:hint="eastAsia" w:ascii="Times New Roman" w:hAnsi="Times New Roman"/>
                <w:kern w:val="0"/>
                <w:szCs w:val="21"/>
                <w:highlight w:val="none"/>
              </w:rPr>
              <w:t>）</w:t>
            </w:r>
          </w:p>
        </w:tc>
        <w:tc>
          <w:tcPr>
            <w:tcW w:w="1504"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台</w:t>
            </w:r>
          </w:p>
        </w:tc>
        <w:tc>
          <w:tcPr>
            <w:tcW w:w="1691"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1</w:t>
            </w:r>
          </w:p>
        </w:tc>
        <w:tc>
          <w:tcPr>
            <w:tcW w:w="1228" w:type="dxa"/>
            <w:vMerge w:val="restart"/>
            <w:noWrap w:val="0"/>
            <w:vAlign w:val="center"/>
          </w:tcPr>
          <w:p>
            <w:pPr>
              <w:jc w:val="center"/>
              <w:rPr>
                <w:rFonts w:ascii="Times New Roman" w:hAnsi="Times New Roman"/>
                <w:kern w:val="0"/>
                <w:szCs w:val="21"/>
                <w:highlight w:val="none"/>
              </w:rPr>
            </w:pPr>
            <w:r>
              <w:rPr>
                <w:rFonts w:hint="eastAsia" w:ascii="Times New Roman" w:hAnsi="Times New Roman"/>
                <w:kern w:val="0"/>
                <w:szCs w:val="21"/>
                <w:highlight w:val="none"/>
              </w:rPr>
              <w:t>4</w:t>
            </w:r>
          </w:p>
        </w:tc>
        <w:tc>
          <w:tcPr>
            <w:tcW w:w="1350" w:type="dxa"/>
            <w:vMerge w:val="restart"/>
            <w:noWrap w:val="0"/>
            <w:vAlign w:val="center"/>
          </w:tcPr>
          <w:p>
            <w:pPr>
              <w:jc w:val="center"/>
              <w:rPr>
                <w:rFonts w:ascii="Times New Roman" w:hAnsi="Times New Roman"/>
                <w:kern w:val="0"/>
                <w:szCs w:val="21"/>
                <w:highlight w:val="none"/>
              </w:rPr>
            </w:pPr>
            <w:r>
              <w:rPr>
                <w:rFonts w:hint="eastAsia" w:ascii="Times New Roman" w:hAnsi="Times New Roman"/>
                <w:kern w:val="0"/>
                <w:szCs w:val="21"/>
                <w:highlight w:val="none"/>
              </w:rPr>
              <w:t>64</w:t>
            </w:r>
          </w:p>
        </w:tc>
        <w:tc>
          <w:tcPr>
            <w:tcW w:w="3403" w:type="dxa"/>
            <w:noWrap w:val="0"/>
            <w:vAlign w:val="center"/>
          </w:tcPr>
          <w:p>
            <w:pPr>
              <w:spacing w:line="360" w:lineRule="auto"/>
              <w:rPr>
                <w:rFonts w:hint="eastAsia"/>
                <w:sz w:val="20"/>
                <w:szCs w:val="20"/>
                <w:highlight w:val="none"/>
              </w:rPr>
            </w:pPr>
          </w:p>
          <w:p>
            <w:pPr>
              <w:numPr>
                <w:ilvl w:val="0"/>
                <w:numId w:val="1"/>
              </w:numPr>
              <w:spacing w:line="360" w:lineRule="auto"/>
              <w:rPr>
                <w:rFonts w:hint="eastAsia"/>
                <w:sz w:val="20"/>
                <w:szCs w:val="20"/>
                <w:highlight w:val="none"/>
              </w:rPr>
            </w:pPr>
            <w:r>
              <w:rPr>
                <w:rFonts w:hint="eastAsia"/>
                <w:sz w:val="20"/>
                <w:szCs w:val="20"/>
                <w:highlight w:val="none"/>
              </w:rPr>
              <w:t>底盘：国内知名品牌</w:t>
            </w:r>
          </w:p>
          <w:p>
            <w:pPr>
              <w:numPr>
                <w:ilvl w:val="0"/>
                <w:numId w:val="1"/>
              </w:numPr>
              <w:spacing w:line="360" w:lineRule="auto"/>
              <w:rPr>
                <w:rFonts w:hint="eastAsia"/>
                <w:sz w:val="20"/>
                <w:szCs w:val="20"/>
                <w:highlight w:val="none"/>
              </w:rPr>
            </w:pPr>
            <w:r>
              <w:rPr>
                <w:rFonts w:hint="eastAsia"/>
                <w:sz w:val="20"/>
                <w:szCs w:val="20"/>
                <w:highlight w:val="none"/>
              </w:rPr>
              <w:t>排放标准：国六</w:t>
            </w:r>
          </w:p>
          <w:p>
            <w:pPr>
              <w:numPr>
                <w:ilvl w:val="0"/>
                <w:numId w:val="1"/>
              </w:numPr>
              <w:spacing w:line="360" w:lineRule="auto"/>
              <w:rPr>
                <w:sz w:val="20"/>
                <w:szCs w:val="20"/>
                <w:highlight w:val="none"/>
              </w:rPr>
            </w:pPr>
            <w:r>
              <w:rPr>
                <w:rFonts w:hint="eastAsia"/>
                <w:sz w:val="20"/>
                <w:szCs w:val="20"/>
                <w:highlight w:val="none"/>
              </w:rPr>
              <w:t>燃油类型：柴油</w:t>
            </w:r>
          </w:p>
          <w:p>
            <w:pPr>
              <w:numPr>
                <w:ilvl w:val="0"/>
                <w:numId w:val="1"/>
              </w:numPr>
              <w:spacing w:line="360" w:lineRule="auto"/>
              <w:rPr>
                <w:kern w:val="2"/>
                <w:sz w:val="20"/>
                <w:szCs w:val="20"/>
                <w:highlight w:val="none"/>
              </w:rPr>
            </w:pPr>
            <w:r>
              <w:rPr>
                <w:rFonts w:hint="eastAsia"/>
                <w:color w:val="000000"/>
                <w:sz w:val="20"/>
                <w:szCs w:val="20"/>
                <w:highlight w:val="none"/>
              </w:rPr>
              <w:t>整车总质量：</w:t>
            </w:r>
            <w:r>
              <w:rPr>
                <w:rFonts w:hint="eastAsia" w:ascii="Times New Roman" w:hAnsi="Times New Roman"/>
                <w:color w:val="000000"/>
                <w:kern w:val="0"/>
                <w:sz w:val="20"/>
                <w:szCs w:val="20"/>
                <w:highlight w:val="none"/>
              </w:rPr>
              <w:t>&gt;</w:t>
            </w:r>
            <w:r>
              <w:rPr>
                <w:rFonts w:ascii="Times New Roman" w:hAnsi="Times New Roman"/>
                <w:color w:val="000000"/>
                <w:kern w:val="0"/>
                <w:sz w:val="20"/>
                <w:szCs w:val="20"/>
                <w:highlight w:val="none"/>
              </w:rPr>
              <w:t>14000</w:t>
            </w:r>
          </w:p>
          <w:p>
            <w:pPr>
              <w:numPr>
                <w:ilvl w:val="0"/>
                <w:numId w:val="1"/>
              </w:numPr>
              <w:spacing w:line="360" w:lineRule="auto"/>
              <w:rPr>
                <w:rFonts w:hint="eastAsia"/>
                <w:kern w:val="0"/>
                <w:sz w:val="20"/>
                <w:szCs w:val="20"/>
                <w:highlight w:val="none"/>
              </w:rPr>
            </w:pPr>
            <w:r>
              <w:rPr>
                <w:rFonts w:hint="eastAsia" w:ascii="Calibri" w:hAnsi="Calibri" w:eastAsia="宋体" w:cs="Times New Roman"/>
                <w:kern w:val="2"/>
                <w:sz w:val="20"/>
                <w:szCs w:val="20"/>
                <w:highlight w:val="none"/>
              </w:rPr>
              <w:t>功率</w:t>
            </w:r>
            <w:r>
              <w:rPr>
                <w:rFonts w:hint="eastAsia"/>
                <w:sz w:val="20"/>
                <w:szCs w:val="20"/>
                <w:highlight w:val="none"/>
              </w:rPr>
              <w:t>：</w:t>
            </w:r>
            <w:r>
              <w:rPr>
                <w:rFonts w:hint="eastAsia" w:ascii="Calibri" w:hAnsi="Calibri" w:eastAsia="宋体" w:cs="Times New Roman"/>
                <w:kern w:val="2"/>
                <w:sz w:val="20"/>
                <w:szCs w:val="20"/>
                <w:highlight w:val="none"/>
              </w:rPr>
              <w:t>≥</w:t>
            </w:r>
            <w:r>
              <w:rPr>
                <w:sz w:val="20"/>
                <w:szCs w:val="20"/>
                <w:highlight w:val="none"/>
              </w:rPr>
              <w:t>14</w:t>
            </w:r>
            <w:r>
              <w:rPr>
                <w:rFonts w:hint="eastAsia" w:ascii="Calibri" w:hAnsi="Calibri" w:eastAsia="宋体" w:cs="Times New Roman"/>
                <w:kern w:val="2"/>
                <w:sz w:val="20"/>
                <w:szCs w:val="20"/>
                <w:highlight w:val="none"/>
              </w:rPr>
              <w:t>0kw</w:t>
            </w:r>
          </w:p>
          <w:p>
            <w:pPr>
              <w:numPr>
                <w:ilvl w:val="0"/>
                <w:numId w:val="1"/>
              </w:numPr>
              <w:spacing w:line="360" w:lineRule="auto"/>
              <w:rPr>
                <w:rFonts w:hint="eastAsia"/>
                <w:sz w:val="20"/>
                <w:szCs w:val="20"/>
                <w:highlight w:val="none"/>
              </w:rPr>
            </w:pPr>
            <w:r>
              <w:rPr>
                <w:rFonts w:hint="eastAsia"/>
                <w:kern w:val="0"/>
                <w:sz w:val="20"/>
                <w:szCs w:val="20"/>
                <w:highlight w:val="none"/>
              </w:rPr>
              <w:t>防撞能力：1.1吨-2.3吨，100km/h</w:t>
            </w:r>
          </w:p>
          <w:p>
            <w:pPr>
              <w:numPr>
                <w:ilvl w:val="0"/>
                <w:numId w:val="1"/>
              </w:numPr>
              <w:spacing w:line="360" w:lineRule="auto"/>
              <w:rPr>
                <w:rFonts w:hint="eastAsia"/>
                <w:sz w:val="20"/>
                <w:szCs w:val="20"/>
                <w:highlight w:val="none"/>
              </w:rPr>
            </w:pPr>
            <w:r>
              <w:rPr>
                <w:rFonts w:hint="eastAsia"/>
                <w:sz w:val="20"/>
                <w:szCs w:val="20"/>
                <w:highlight w:val="none"/>
              </w:rPr>
              <w:t>结构外观</w:t>
            </w:r>
            <w:r>
              <w:rPr>
                <w:rFonts w:hint="eastAsia"/>
                <w:sz w:val="20"/>
                <w:szCs w:val="20"/>
                <w:highlight w:val="none"/>
              </w:rPr>
              <w:tab/>
            </w:r>
            <w:r>
              <w:rPr>
                <w:rFonts w:hint="eastAsia" w:ascii="宋体" w:hAnsi="宋体" w:cs="宋体"/>
                <w:b/>
                <w:bCs/>
                <w:kern w:val="0"/>
                <w:sz w:val="20"/>
                <w:szCs w:val="20"/>
                <w:highlight w:val="none"/>
              </w:rPr>
              <w:t>：</w:t>
            </w:r>
            <w:r>
              <w:rPr>
                <w:rFonts w:hint="eastAsia"/>
                <w:sz w:val="20"/>
                <w:szCs w:val="20"/>
                <w:highlight w:val="none"/>
              </w:rPr>
              <w:t>主吸能部分采用黄色喷涂，外部应有外扩型导向框架在发生碰撞为汽车后部的尾角区域提供保护，防止小车钻入到前车尾部，降低撞击风险等级。</w:t>
            </w:r>
          </w:p>
          <w:p>
            <w:pPr>
              <w:numPr>
                <w:ilvl w:val="0"/>
                <w:numId w:val="1"/>
              </w:numPr>
              <w:spacing w:line="360" w:lineRule="auto"/>
              <w:rPr>
                <w:rFonts w:hint="eastAsia"/>
                <w:sz w:val="20"/>
                <w:szCs w:val="20"/>
                <w:highlight w:val="none"/>
              </w:rPr>
            </w:pPr>
            <w:r>
              <w:rPr>
                <w:rFonts w:hint="eastAsia"/>
                <w:sz w:val="20"/>
                <w:szCs w:val="20"/>
                <w:highlight w:val="none"/>
              </w:rPr>
              <w:t>性能要求：</w:t>
            </w:r>
          </w:p>
          <w:p>
            <w:pPr>
              <w:numPr>
                <w:ilvl w:val="0"/>
                <w:numId w:val="0"/>
              </w:numPr>
              <w:spacing w:line="360" w:lineRule="auto"/>
              <w:rPr>
                <w:rFonts w:hint="eastAsia"/>
                <w:sz w:val="20"/>
                <w:szCs w:val="20"/>
                <w:highlight w:val="none"/>
              </w:rPr>
            </w:pPr>
            <w:r>
              <w:rPr>
                <w:rFonts w:hint="eastAsia"/>
                <w:sz w:val="20"/>
                <w:szCs w:val="20"/>
                <w:highlight w:val="none"/>
              </w:rPr>
              <w:t>1.防撞缓冲垫具有两级吸能功效，可满足低速撞击下外部零部件具有快速替换功能。</w:t>
            </w:r>
          </w:p>
          <w:p>
            <w:pPr>
              <w:spacing w:line="360" w:lineRule="auto"/>
              <w:rPr>
                <w:rFonts w:hint="eastAsia"/>
                <w:sz w:val="20"/>
                <w:szCs w:val="20"/>
                <w:highlight w:val="none"/>
              </w:rPr>
            </w:pPr>
            <w:r>
              <w:rPr>
                <w:rFonts w:hint="eastAsia"/>
                <w:sz w:val="20"/>
                <w:szCs w:val="20"/>
                <w:highlight w:val="none"/>
              </w:rPr>
              <w:t>2.在碰撞过程中，防撞缓冲垫所有吸能材料和变形部件均被有效包裹在防撞缓冲垫内，不准许任何材料飞溅到其他相邻车道的情况。</w:t>
            </w:r>
          </w:p>
          <w:p>
            <w:pPr>
              <w:numPr>
                <w:ilvl w:val="0"/>
                <w:numId w:val="1"/>
              </w:numPr>
              <w:spacing w:line="360" w:lineRule="auto"/>
              <w:rPr>
                <w:rFonts w:hint="eastAsia"/>
                <w:sz w:val="20"/>
                <w:szCs w:val="20"/>
                <w:highlight w:val="none"/>
              </w:rPr>
            </w:pPr>
            <w:r>
              <w:rPr>
                <w:rFonts w:hint="eastAsia"/>
                <w:sz w:val="20"/>
                <w:szCs w:val="20"/>
                <w:highlight w:val="none"/>
              </w:rPr>
              <w:t>防撞等级及证明材料要求：需提供防撞缓冲垫参考《MASH2016》防撞等级测试标准进行正向追尾/偏置正向追尾/偏斜向追尾的第三方专业检测机构出具的实车碰撞检测报告。</w:t>
            </w:r>
          </w:p>
          <w:p>
            <w:pPr>
              <w:numPr>
                <w:ilvl w:val="0"/>
                <w:numId w:val="1"/>
              </w:numPr>
              <w:spacing w:line="360" w:lineRule="auto"/>
              <w:rPr>
                <w:rFonts w:hint="eastAsia"/>
                <w:sz w:val="20"/>
                <w:szCs w:val="20"/>
                <w:highlight w:val="none"/>
              </w:rPr>
            </w:pPr>
            <w:r>
              <w:rPr>
                <w:rFonts w:hint="eastAsia"/>
                <w:sz w:val="20"/>
                <w:szCs w:val="20"/>
                <w:highlight w:val="none"/>
              </w:rPr>
              <w:t>测试报告内容要求：碰撞检测报告中的防撞缓冲垫尺寸和结构需与投标产品一致。</w:t>
            </w:r>
          </w:p>
          <w:p>
            <w:pPr>
              <w:numPr>
                <w:ilvl w:val="0"/>
                <w:numId w:val="1"/>
              </w:numPr>
              <w:spacing w:line="360" w:lineRule="auto"/>
              <w:rPr>
                <w:rFonts w:hint="eastAsia"/>
                <w:sz w:val="20"/>
                <w:szCs w:val="20"/>
                <w:highlight w:val="none"/>
              </w:rPr>
            </w:pPr>
            <w:r>
              <w:rPr>
                <w:rFonts w:hint="eastAsia"/>
                <w:sz w:val="20"/>
                <w:szCs w:val="20"/>
                <w:highlight w:val="none"/>
              </w:rPr>
              <w:t>质量保证：防撞缓冲垫应具有知名保险公司进行质量承保。</w:t>
            </w:r>
          </w:p>
          <w:p>
            <w:pPr>
              <w:numPr>
                <w:ilvl w:val="0"/>
                <w:numId w:val="1"/>
              </w:numPr>
              <w:spacing w:line="360" w:lineRule="auto"/>
              <w:rPr>
                <w:sz w:val="20"/>
                <w:szCs w:val="20"/>
                <w:highlight w:val="none"/>
              </w:rPr>
            </w:pPr>
            <w:r>
              <w:rPr>
                <w:rFonts w:hint="eastAsia"/>
                <w:sz w:val="20"/>
                <w:szCs w:val="20"/>
                <w:highlight w:val="none"/>
              </w:rPr>
              <w:t>警示灯光要求：防撞缓冲垫工作及行驶过程中均具备同步灯光系统（转向灯、刹车灯、行车灯、雾灯、示廓灯、侧标识灯等）。</w:t>
            </w:r>
          </w:p>
          <w:p>
            <w:pPr>
              <w:numPr>
                <w:ilvl w:val="0"/>
                <w:numId w:val="1"/>
              </w:numPr>
              <w:spacing w:line="360" w:lineRule="auto"/>
              <w:rPr>
                <w:rFonts w:ascii="Times New Roman" w:hAnsi="Times New Roman"/>
                <w:kern w:val="0"/>
                <w:sz w:val="20"/>
                <w:szCs w:val="20"/>
                <w:highlight w:val="none"/>
              </w:rPr>
            </w:pPr>
            <w:r>
              <w:rPr>
                <w:rFonts w:hint="eastAsia" w:ascii="Times New Roman" w:hAnsi="Times New Roman"/>
                <w:color w:val="000000"/>
                <w:kern w:val="0"/>
                <w:sz w:val="20"/>
                <w:szCs w:val="20"/>
                <w:highlight w:val="none"/>
              </w:rPr>
              <w:t>整车</w:t>
            </w:r>
            <w:r>
              <w:rPr>
                <w:rFonts w:hint="eastAsia" w:ascii="Times New Roman" w:hAnsi="Times New Roman"/>
                <w:kern w:val="0"/>
                <w:sz w:val="20"/>
                <w:szCs w:val="20"/>
                <w:highlight w:val="none"/>
              </w:rPr>
              <w:t>货箱为开放式，不可封闭，要有半自动标志桶存放空间。</w:t>
            </w:r>
          </w:p>
          <w:p>
            <w:pPr>
              <w:numPr>
                <w:ilvl w:val="0"/>
                <w:numId w:val="1"/>
              </w:numPr>
              <w:spacing w:line="360" w:lineRule="auto"/>
              <w:rPr>
                <w:rFonts w:hint="eastAsia" w:ascii="Times New Roman" w:hAnsi="Times New Roman"/>
                <w:kern w:val="0"/>
                <w:sz w:val="20"/>
                <w:szCs w:val="20"/>
                <w:highlight w:val="none"/>
              </w:rPr>
            </w:pPr>
            <w:r>
              <w:rPr>
                <w:rFonts w:hint="eastAsia" w:ascii="Times New Roman" w:hAnsi="Times New Roman"/>
                <w:kern w:val="0"/>
                <w:sz w:val="20"/>
                <w:szCs w:val="20"/>
                <w:highlight w:val="none"/>
              </w:rPr>
              <w:t>厂家还需提供被撞修复期免费换车替补及保险的处理等最低服务服务。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3" w:type="dxa"/>
            <w:vMerge w:val="continue"/>
            <w:noWrap w:val="0"/>
            <w:vAlign w:val="center"/>
          </w:tcPr>
          <w:p>
            <w:pPr>
              <w:jc w:val="center"/>
              <w:rPr>
                <w:rFonts w:ascii="Times New Roman" w:hAnsi="Times New Roman"/>
                <w:kern w:val="0"/>
                <w:szCs w:val="21"/>
                <w:highlight w:val="none"/>
              </w:rPr>
            </w:pPr>
          </w:p>
        </w:tc>
        <w:tc>
          <w:tcPr>
            <w:tcW w:w="1495" w:type="dxa"/>
            <w:noWrap w:val="0"/>
            <w:vAlign w:val="center"/>
          </w:tcPr>
          <w:p>
            <w:pPr>
              <w:spacing w:line="420" w:lineRule="exact"/>
              <w:jc w:val="left"/>
              <w:rPr>
                <w:rFonts w:hint="eastAsia" w:ascii="Times New Roman" w:hAnsi="Times New Roman"/>
                <w:color w:val="000000"/>
                <w:kern w:val="0"/>
                <w:szCs w:val="21"/>
                <w:highlight w:val="none"/>
              </w:rPr>
            </w:pPr>
            <w:r>
              <w:rPr>
                <w:rFonts w:hint="eastAsia" w:ascii="Times New Roman" w:hAnsi="Times New Roman"/>
                <w:color w:val="000000"/>
                <w:kern w:val="0"/>
                <w:szCs w:val="21"/>
                <w:highlight w:val="none"/>
              </w:rPr>
              <w:t>半自动标志桶收放设备</w:t>
            </w:r>
          </w:p>
        </w:tc>
        <w:tc>
          <w:tcPr>
            <w:tcW w:w="1504"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台</w:t>
            </w:r>
          </w:p>
        </w:tc>
        <w:tc>
          <w:tcPr>
            <w:tcW w:w="1691"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1</w:t>
            </w:r>
          </w:p>
        </w:tc>
        <w:tc>
          <w:tcPr>
            <w:tcW w:w="1228" w:type="dxa"/>
            <w:vMerge w:val="continue"/>
            <w:noWrap w:val="0"/>
            <w:vAlign w:val="center"/>
          </w:tcPr>
          <w:p>
            <w:pPr>
              <w:jc w:val="center"/>
              <w:rPr>
                <w:rFonts w:ascii="Times New Roman" w:hAnsi="Times New Roman"/>
                <w:kern w:val="0"/>
                <w:szCs w:val="21"/>
                <w:highlight w:val="none"/>
              </w:rPr>
            </w:pPr>
          </w:p>
        </w:tc>
        <w:tc>
          <w:tcPr>
            <w:tcW w:w="1350" w:type="dxa"/>
            <w:vMerge w:val="continue"/>
            <w:noWrap w:val="0"/>
            <w:vAlign w:val="center"/>
          </w:tcPr>
          <w:p>
            <w:pPr>
              <w:jc w:val="center"/>
              <w:rPr>
                <w:rFonts w:ascii="Times New Roman" w:hAnsi="Times New Roman"/>
                <w:kern w:val="0"/>
                <w:szCs w:val="21"/>
                <w:highlight w:val="none"/>
              </w:rPr>
            </w:pPr>
          </w:p>
        </w:tc>
        <w:tc>
          <w:tcPr>
            <w:tcW w:w="3403" w:type="dxa"/>
            <w:noWrap w:val="0"/>
            <w:vAlign w:val="center"/>
          </w:tcPr>
          <w:p>
            <w:pPr>
              <w:numPr>
                <w:ilvl w:val="0"/>
                <w:numId w:val="2"/>
              </w:numPr>
              <w:spacing w:line="360" w:lineRule="auto"/>
              <w:rPr>
                <w:rFonts w:hint="eastAsia" w:ascii="Times New Roman" w:hAnsi="Times New Roman"/>
                <w:kern w:val="0"/>
                <w:sz w:val="20"/>
                <w:szCs w:val="20"/>
                <w:highlight w:val="none"/>
              </w:rPr>
            </w:pPr>
            <w:r>
              <w:rPr>
                <w:rFonts w:hint="eastAsia" w:ascii="Times New Roman" w:hAnsi="Times New Roman"/>
                <w:kern w:val="0"/>
                <w:sz w:val="20"/>
                <w:szCs w:val="20"/>
                <w:highlight w:val="none"/>
              </w:rPr>
              <w:t>该装置装于防撞车货箱内，为可拆卸的移动模块，施工时防撞车装上该装置，即可摆放标志桶，也可对现场安全防撞警戒；</w:t>
            </w:r>
          </w:p>
          <w:p>
            <w:pPr>
              <w:numPr>
                <w:ilvl w:val="0"/>
                <w:numId w:val="2"/>
              </w:numPr>
              <w:spacing w:line="360" w:lineRule="auto"/>
              <w:jc w:val="left"/>
              <w:rPr>
                <w:rFonts w:ascii="Times New Roman" w:hAnsi="Times New Roman"/>
                <w:kern w:val="0"/>
                <w:sz w:val="20"/>
                <w:szCs w:val="20"/>
                <w:highlight w:val="none"/>
              </w:rPr>
            </w:pPr>
            <w:r>
              <w:rPr>
                <w:rFonts w:hint="eastAsia" w:ascii="Times New Roman" w:hAnsi="Times New Roman"/>
                <w:kern w:val="0"/>
                <w:sz w:val="20"/>
                <w:szCs w:val="20"/>
                <w:highlight w:val="none"/>
              </w:rPr>
              <w:t>该装置由站立于车厢内的1名人工协助标志桶码放即可，平均摆放效率不低于1000个/小时。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393" w:type="dxa"/>
            <w:vMerge w:val="continue"/>
            <w:noWrap w:val="0"/>
            <w:vAlign w:val="center"/>
          </w:tcPr>
          <w:p>
            <w:pPr>
              <w:spacing w:line="420" w:lineRule="exact"/>
              <w:jc w:val="left"/>
              <w:rPr>
                <w:rFonts w:ascii="Times New Roman" w:hAnsi="Times New Roman"/>
                <w:kern w:val="0"/>
                <w:szCs w:val="21"/>
                <w:highlight w:val="none"/>
              </w:rPr>
            </w:pPr>
          </w:p>
        </w:tc>
        <w:tc>
          <w:tcPr>
            <w:tcW w:w="1495" w:type="dxa"/>
            <w:noWrap w:val="0"/>
            <w:vAlign w:val="center"/>
          </w:tcPr>
          <w:p>
            <w:pPr>
              <w:spacing w:line="420" w:lineRule="exact"/>
              <w:jc w:val="left"/>
              <w:rPr>
                <w:rFonts w:hint="eastAsia" w:ascii="Times New Roman" w:hAnsi="Times New Roman"/>
                <w:color w:val="000000"/>
                <w:kern w:val="0"/>
                <w:szCs w:val="21"/>
                <w:highlight w:val="none"/>
              </w:rPr>
            </w:pPr>
            <w:r>
              <w:rPr>
                <w:rFonts w:hint="eastAsia" w:ascii="Times New Roman" w:hAnsi="Times New Roman"/>
                <w:color w:val="000000"/>
                <w:kern w:val="0"/>
                <w:szCs w:val="21"/>
                <w:highlight w:val="none"/>
              </w:rPr>
              <w:t>预警云盒</w:t>
            </w:r>
          </w:p>
        </w:tc>
        <w:tc>
          <w:tcPr>
            <w:tcW w:w="1504"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台</w:t>
            </w:r>
          </w:p>
        </w:tc>
        <w:tc>
          <w:tcPr>
            <w:tcW w:w="1691"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1</w:t>
            </w:r>
          </w:p>
        </w:tc>
        <w:tc>
          <w:tcPr>
            <w:tcW w:w="1228" w:type="dxa"/>
            <w:vMerge w:val="continue"/>
            <w:noWrap w:val="0"/>
            <w:vAlign w:val="center"/>
          </w:tcPr>
          <w:p>
            <w:pPr>
              <w:jc w:val="center"/>
              <w:rPr>
                <w:rFonts w:ascii="Times New Roman" w:hAnsi="Times New Roman"/>
                <w:kern w:val="0"/>
                <w:szCs w:val="21"/>
                <w:highlight w:val="none"/>
              </w:rPr>
            </w:pPr>
          </w:p>
        </w:tc>
        <w:tc>
          <w:tcPr>
            <w:tcW w:w="1350" w:type="dxa"/>
            <w:vMerge w:val="continue"/>
            <w:noWrap w:val="0"/>
            <w:vAlign w:val="center"/>
          </w:tcPr>
          <w:p>
            <w:pPr>
              <w:jc w:val="center"/>
              <w:rPr>
                <w:rFonts w:ascii="Times New Roman" w:hAnsi="Times New Roman"/>
                <w:kern w:val="0"/>
                <w:szCs w:val="21"/>
                <w:highlight w:val="none"/>
              </w:rPr>
            </w:pPr>
          </w:p>
        </w:tc>
        <w:tc>
          <w:tcPr>
            <w:tcW w:w="3403" w:type="dxa"/>
            <w:noWrap w:val="0"/>
            <w:vAlign w:val="center"/>
          </w:tcPr>
          <w:p>
            <w:pPr>
              <w:spacing w:line="360" w:lineRule="auto"/>
              <w:jc w:val="left"/>
              <w:rPr>
                <w:rFonts w:ascii="Times New Roman" w:hAnsi="Times New Roman"/>
                <w:kern w:val="0"/>
                <w:sz w:val="20"/>
                <w:szCs w:val="20"/>
                <w:highlight w:val="none"/>
              </w:rPr>
            </w:pPr>
            <w:r>
              <w:rPr>
                <w:rFonts w:hint="eastAsia" w:ascii="Times New Roman" w:hAnsi="Times New Roman"/>
                <w:kern w:val="0"/>
                <w:sz w:val="20"/>
                <w:szCs w:val="20"/>
                <w:highlight w:val="none"/>
              </w:rPr>
              <w:t>1、置于防撞车内，可卫星、网络定位，由厂家负责在目前主流导航软件（高德、百度等）上显示位置，并在导航软件中在距离防撞车至少5KM以外对高速司乘人员提示预警。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393" w:type="dxa"/>
            <w:vMerge w:val="continue"/>
            <w:noWrap w:val="0"/>
            <w:vAlign w:val="center"/>
          </w:tcPr>
          <w:p>
            <w:pPr>
              <w:jc w:val="left"/>
              <w:rPr>
                <w:rFonts w:ascii="Times New Roman" w:hAnsi="Times New Roman"/>
                <w:kern w:val="0"/>
                <w:szCs w:val="21"/>
                <w:highlight w:val="none"/>
              </w:rPr>
            </w:pPr>
          </w:p>
        </w:tc>
        <w:tc>
          <w:tcPr>
            <w:tcW w:w="1495" w:type="dxa"/>
            <w:noWrap w:val="0"/>
            <w:vAlign w:val="center"/>
          </w:tcPr>
          <w:p>
            <w:pPr>
              <w:spacing w:line="420" w:lineRule="exact"/>
              <w:jc w:val="left"/>
              <w:rPr>
                <w:rFonts w:hint="eastAsia" w:ascii="Times New Roman" w:hAnsi="Times New Roman"/>
                <w:color w:val="000000"/>
                <w:kern w:val="0"/>
                <w:szCs w:val="21"/>
                <w:highlight w:val="none"/>
              </w:rPr>
            </w:pPr>
            <w:r>
              <w:rPr>
                <w:rFonts w:hint="eastAsia" w:ascii="Times New Roman" w:hAnsi="Times New Roman"/>
                <w:color w:val="000000"/>
                <w:kern w:val="0"/>
                <w:szCs w:val="21"/>
                <w:highlight w:val="none"/>
              </w:rPr>
              <w:t>定向声波预警装置</w:t>
            </w:r>
          </w:p>
        </w:tc>
        <w:tc>
          <w:tcPr>
            <w:tcW w:w="1504"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台</w:t>
            </w:r>
          </w:p>
        </w:tc>
        <w:tc>
          <w:tcPr>
            <w:tcW w:w="1691"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1</w:t>
            </w:r>
          </w:p>
        </w:tc>
        <w:tc>
          <w:tcPr>
            <w:tcW w:w="1228" w:type="dxa"/>
            <w:vMerge w:val="continue"/>
            <w:noWrap w:val="0"/>
            <w:vAlign w:val="center"/>
          </w:tcPr>
          <w:p>
            <w:pPr>
              <w:jc w:val="center"/>
              <w:rPr>
                <w:rFonts w:ascii="Times New Roman" w:hAnsi="Times New Roman"/>
                <w:kern w:val="0"/>
                <w:szCs w:val="21"/>
                <w:highlight w:val="none"/>
              </w:rPr>
            </w:pPr>
          </w:p>
        </w:tc>
        <w:tc>
          <w:tcPr>
            <w:tcW w:w="1350" w:type="dxa"/>
            <w:vMerge w:val="continue"/>
            <w:noWrap w:val="0"/>
            <w:vAlign w:val="center"/>
          </w:tcPr>
          <w:p>
            <w:pPr>
              <w:jc w:val="center"/>
              <w:rPr>
                <w:rFonts w:ascii="Times New Roman" w:hAnsi="Times New Roman"/>
                <w:kern w:val="0"/>
                <w:szCs w:val="21"/>
                <w:highlight w:val="none"/>
              </w:rPr>
            </w:pPr>
          </w:p>
        </w:tc>
        <w:tc>
          <w:tcPr>
            <w:tcW w:w="3403" w:type="dxa"/>
            <w:vMerge w:val="restart"/>
            <w:noWrap w:val="0"/>
            <w:vAlign w:val="center"/>
          </w:tcPr>
          <w:p>
            <w:pPr>
              <w:numPr>
                <w:ilvl w:val="0"/>
                <w:numId w:val="3"/>
              </w:numPr>
              <w:spacing w:line="360" w:lineRule="auto"/>
              <w:rPr>
                <w:rFonts w:hint="eastAsia" w:ascii="Times New Roman" w:hAnsi="Times New Roman"/>
                <w:kern w:val="0"/>
                <w:sz w:val="20"/>
                <w:szCs w:val="20"/>
                <w:highlight w:val="none"/>
              </w:rPr>
            </w:pPr>
            <w:r>
              <w:rPr>
                <w:rFonts w:hint="eastAsia" w:ascii="Times New Roman" w:hAnsi="Times New Roman"/>
                <w:kern w:val="0"/>
                <w:sz w:val="20"/>
                <w:szCs w:val="20"/>
                <w:highlight w:val="none"/>
              </w:rPr>
              <w:t>置于防撞车顶部或后部，为可移动设置装置，主机内设电磁波雷达，雷达频率≧77GHz，可扫描500m范围，可实时捕捉防撞车所在车道并距防撞车上游200m范围的车辆，并实时跟踪检测和分析后方车辆的危险性，若有车辆进入其所在车道并距防撞车上游100m范围且速度大于60Km/h或S型行驶时，主机即主动向后方来车发出定向声波预警，提醒上游车辆注意安全，变道或减速行驶；</w:t>
            </w:r>
          </w:p>
          <w:p>
            <w:pPr>
              <w:numPr>
                <w:ilvl w:val="0"/>
                <w:numId w:val="3"/>
              </w:numPr>
              <w:spacing w:line="360" w:lineRule="auto"/>
              <w:rPr>
                <w:rFonts w:hint="eastAsia" w:ascii="Times New Roman" w:hAnsi="Times New Roman"/>
                <w:kern w:val="0"/>
                <w:sz w:val="20"/>
                <w:szCs w:val="20"/>
                <w:highlight w:val="none"/>
              </w:rPr>
            </w:pPr>
            <w:r>
              <w:rPr>
                <w:rFonts w:hint="eastAsia" w:ascii="Times New Roman" w:hAnsi="Times New Roman"/>
                <w:kern w:val="0"/>
                <w:sz w:val="20"/>
                <w:szCs w:val="20"/>
                <w:highlight w:val="none"/>
              </w:rPr>
              <w:t>当其变道行驶或减速至60Km/h以下时，系统则自动关闭预警声波；如车辆未变道且未减速行驶，主机即持续向来车释放定向声波预警。当有车辆驶入防撞车所在车道并距防撞车上游50m范围且速度大于20Km/h时，主机即向后方来车发出增强定向声波预警，提醒其变道行驶或采取制动措施，同时向防撞车驾驶员或作业现场人员发出预警信号，启动智能手环报警，实时避让，若后方车辆减速至20Km/h以内或停车、变道，系统主机则自动关闭、同时智能手环关闭；</w:t>
            </w:r>
          </w:p>
          <w:p>
            <w:pPr>
              <w:numPr>
                <w:ilvl w:val="0"/>
                <w:numId w:val="3"/>
              </w:numPr>
              <w:spacing w:line="360" w:lineRule="auto"/>
              <w:rPr>
                <w:rFonts w:ascii="Times New Roman" w:hAnsi="Times New Roman"/>
                <w:kern w:val="0"/>
                <w:sz w:val="20"/>
                <w:szCs w:val="20"/>
                <w:highlight w:val="none"/>
              </w:rPr>
            </w:pPr>
            <w:r>
              <w:rPr>
                <w:rFonts w:hint="eastAsia" w:ascii="Times New Roman" w:hAnsi="Times New Roman"/>
                <w:kern w:val="0"/>
                <w:sz w:val="20"/>
                <w:szCs w:val="20"/>
                <w:highlight w:val="none"/>
              </w:rPr>
              <w:t>该装置发射定向声波，对防撞车周边噪音污染小，不影响施工作业人员。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393" w:type="dxa"/>
            <w:vMerge w:val="continue"/>
            <w:noWrap w:val="0"/>
            <w:vAlign w:val="center"/>
          </w:tcPr>
          <w:p>
            <w:pPr>
              <w:jc w:val="left"/>
              <w:rPr>
                <w:rFonts w:ascii="Times New Roman" w:hAnsi="Times New Roman"/>
                <w:kern w:val="0"/>
                <w:szCs w:val="21"/>
                <w:highlight w:val="none"/>
              </w:rPr>
            </w:pPr>
          </w:p>
        </w:tc>
        <w:tc>
          <w:tcPr>
            <w:tcW w:w="1495" w:type="dxa"/>
            <w:noWrap w:val="0"/>
            <w:vAlign w:val="center"/>
          </w:tcPr>
          <w:p>
            <w:pPr>
              <w:spacing w:line="420" w:lineRule="exact"/>
              <w:jc w:val="left"/>
              <w:rPr>
                <w:rFonts w:hint="eastAsia" w:ascii="Times New Roman" w:hAnsi="Times New Roman"/>
                <w:color w:val="000000"/>
                <w:kern w:val="0"/>
                <w:szCs w:val="21"/>
                <w:highlight w:val="none"/>
              </w:rPr>
            </w:pPr>
            <w:r>
              <w:rPr>
                <w:rFonts w:hint="eastAsia" w:ascii="Times New Roman" w:hAnsi="Times New Roman"/>
                <w:color w:val="000000"/>
                <w:kern w:val="0"/>
                <w:szCs w:val="21"/>
                <w:highlight w:val="none"/>
              </w:rPr>
              <w:t>智能报警手环</w:t>
            </w:r>
          </w:p>
        </w:tc>
        <w:tc>
          <w:tcPr>
            <w:tcW w:w="1504"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个</w:t>
            </w:r>
          </w:p>
        </w:tc>
        <w:tc>
          <w:tcPr>
            <w:tcW w:w="1691" w:type="dxa"/>
            <w:noWrap w:val="0"/>
            <w:vAlign w:val="center"/>
          </w:tcPr>
          <w:p>
            <w:pPr>
              <w:jc w:val="center"/>
              <w:rPr>
                <w:rFonts w:hint="eastAsia" w:ascii="Times New Roman" w:hAnsi="Times New Roman"/>
                <w:kern w:val="0"/>
                <w:szCs w:val="21"/>
                <w:highlight w:val="none"/>
              </w:rPr>
            </w:pPr>
            <w:r>
              <w:rPr>
                <w:rFonts w:hint="eastAsia" w:ascii="Times New Roman" w:hAnsi="Times New Roman"/>
                <w:kern w:val="0"/>
                <w:szCs w:val="21"/>
                <w:highlight w:val="none"/>
              </w:rPr>
              <w:t>≥2</w:t>
            </w:r>
          </w:p>
        </w:tc>
        <w:tc>
          <w:tcPr>
            <w:tcW w:w="1228" w:type="dxa"/>
            <w:vMerge w:val="continue"/>
            <w:noWrap w:val="0"/>
            <w:vAlign w:val="center"/>
          </w:tcPr>
          <w:p>
            <w:pPr>
              <w:jc w:val="center"/>
              <w:rPr>
                <w:rFonts w:ascii="Times New Roman" w:hAnsi="Times New Roman"/>
                <w:kern w:val="0"/>
                <w:szCs w:val="21"/>
                <w:highlight w:val="none"/>
              </w:rPr>
            </w:pPr>
          </w:p>
        </w:tc>
        <w:tc>
          <w:tcPr>
            <w:tcW w:w="1350" w:type="dxa"/>
            <w:vMerge w:val="continue"/>
            <w:noWrap w:val="0"/>
            <w:vAlign w:val="center"/>
          </w:tcPr>
          <w:p>
            <w:pPr>
              <w:jc w:val="center"/>
              <w:rPr>
                <w:rFonts w:ascii="Times New Roman" w:hAnsi="Times New Roman"/>
                <w:kern w:val="0"/>
                <w:szCs w:val="21"/>
                <w:highlight w:val="none"/>
              </w:rPr>
            </w:pPr>
          </w:p>
        </w:tc>
        <w:tc>
          <w:tcPr>
            <w:tcW w:w="3403" w:type="dxa"/>
            <w:vMerge w:val="continue"/>
            <w:noWrap w:val="0"/>
            <w:vAlign w:val="center"/>
          </w:tcPr>
          <w:p>
            <w:pPr>
              <w:jc w:val="center"/>
              <w:rPr>
                <w:rFonts w:ascii="Times New Roman" w:hAnsi="Times New Roman"/>
                <w:kern w:val="0"/>
                <w:szCs w:val="21"/>
                <w:highlight w:val="none"/>
              </w:rPr>
            </w:pPr>
          </w:p>
        </w:tc>
      </w:tr>
    </w:tbl>
    <w:p>
      <w:pPr>
        <w:spacing w:line="420" w:lineRule="exact"/>
        <w:jc w:val="left"/>
        <w:rPr>
          <w:rFonts w:ascii="Times New Roman" w:hAnsi="Times New Roman"/>
          <w:kern w:val="0"/>
          <w:szCs w:val="21"/>
          <w:highlight w:val="none"/>
        </w:rPr>
      </w:pPr>
      <w:r>
        <w:rPr>
          <w:rFonts w:hint="eastAsia" w:ascii="Times New Roman" w:hAnsi="Times New Roman"/>
          <w:kern w:val="0"/>
          <w:szCs w:val="21"/>
          <w:highlight w:val="none"/>
        </w:rPr>
        <w:t>注</w:t>
      </w:r>
      <w:r>
        <w:rPr>
          <w:rFonts w:ascii="Times New Roman" w:hAnsi="Times New Roman"/>
          <w:kern w:val="0"/>
          <w:szCs w:val="21"/>
          <w:highlight w:val="none"/>
        </w:rPr>
        <w:t>：</w:t>
      </w:r>
    </w:p>
    <w:p>
      <w:pPr>
        <w:pStyle w:val="9"/>
        <w:numPr>
          <w:ilvl w:val="0"/>
          <w:numId w:val="4"/>
        </w:numPr>
        <w:spacing w:line="400" w:lineRule="exact"/>
        <w:ind w:left="0" w:firstLine="0" w:firstLineChars="0"/>
        <w:jc w:val="left"/>
      </w:pPr>
      <w:r>
        <w:rPr>
          <w:rFonts w:hint="eastAsia"/>
          <w:kern w:val="0"/>
          <w:szCs w:val="21"/>
          <w:highlight w:val="none"/>
        </w:rPr>
        <w:t>提供完整的操作手册、电路图等相关技术文件,；2，根据招标人要求，为上述供货设备喷涂统一颜色和标识。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r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42AD0"/>
    <w:rsid w:val="17010D34"/>
    <w:rsid w:val="28742AD0"/>
    <w:rsid w:val="5C14154D"/>
    <w:rsid w:val="5E594378"/>
    <w:rsid w:val="7623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rPr>
      <w:rFonts w:ascii="Times New Roman" w:hAnsi="Times New Roman" w:eastAsia="宋体" w:cs="Times New Roman"/>
      <w:szCs w:val="24"/>
    </w:rPr>
  </w:style>
  <w:style w:type="character" w:styleId="7">
    <w:name w:val="Hyperlink"/>
    <w:basedOn w:val="6"/>
    <w:qFormat/>
    <w:uiPriority w:val="0"/>
    <w:rPr>
      <w:color w:val="0000FF"/>
      <w:u w:val="single"/>
    </w:rPr>
  </w:style>
  <w:style w:type="character" w:customStyle="1" w:styleId="8">
    <w:name w:val="fontstyle01"/>
    <w:qFormat/>
    <w:uiPriority w:val="0"/>
    <w:rPr>
      <w:rFonts w:hint="eastAsia" w:ascii="宋体" w:hAnsi="宋体" w:eastAsia="宋体" w:cs="Times New Roman"/>
      <w:color w:val="000000"/>
      <w:sz w:val="22"/>
      <w:szCs w:val="22"/>
    </w:rPr>
  </w:style>
  <w:style w:type="paragraph" w:styleId="9">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2021-08-17T03:30:00Z</dcterms:created>
  <dc:creator>潘梦夏</dc:creator>
  <cp:lastModifiedBy>褚露霞</cp:lastModifiedBy>
  <dcterms:modified xsi:type="dcterms:W3CDTF">2021-08-17T08:31:38Z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69D28406077D4D0893D5901ECE92C40F</vt:lpwstr>
  </property>
</Properties>
</file>